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13ED50" w14:textId="7C92599A" w:rsidR="004806E9" w:rsidRDefault="00EE6105" w:rsidP="00CE427B">
      <w:r>
        <w:rPr>
          <w:noProof/>
        </w:rPr>
        <w:drawing>
          <wp:inline distT="0" distB="0" distL="0" distR="0" wp14:anchorId="4751DD4D" wp14:editId="25051B84">
            <wp:extent cx="3591690" cy="769725"/>
            <wp:effectExtent l="0" t="0" r="8890" b="0"/>
            <wp:docPr id="3" name="Picture 3" descr="Home | Inclusion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 Inclusion Australi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97973" cy="792502"/>
                    </a:xfrm>
                    <a:prstGeom prst="rect">
                      <a:avLst/>
                    </a:prstGeom>
                    <a:noFill/>
                    <a:ln>
                      <a:noFill/>
                    </a:ln>
                  </pic:spPr>
                </pic:pic>
              </a:graphicData>
            </a:graphic>
          </wp:inline>
        </w:drawing>
      </w:r>
    </w:p>
    <w:p w14:paraId="5A83C916" w14:textId="7BDEC319" w:rsidR="00876172" w:rsidRDefault="00876172" w:rsidP="00CE427B"/>
    <w:p w14:paraId="0CC64596" w14:textId="33BE4C26" w:rsidR="00876172" w:rsidRDefault="00876172" w:rsidP="00CE427B">
      <w:bookmarkStart w:id="0" w:name="_Hlk26803419"/>
      <w:bookmarkEnd w:id="0"/>
    </w:p>
    <w:p w14:paraId="2D6830E2" w14:textId="006FC243" w:rsidR="00CB5528" w:rsidRDefault="00CB5528" w:rsidP="00CE427B"/>
    <w:p w14:paraId="11281A15" w14:textId="267C0E18" w:rsidR="00CB5528" w:rsidRDefault="00EE6105" w:rsidP="00CE427B">
      <w:r>
        <w:rPr>
          <w:noProof/>
          <w:lang w:val="en-AU" w:eastAsia="en-AU"/>
        </w:rPr>
        <w:drawing>
          <wp:anchor distT="0" distB="0" distL="114300" distR="114300" simplePos="0" relativeHeight="251640320" behindDoc="0" locked="0" layoutInCell="1" allowOverlap="1" wp14:anchorId="6413A378" wp14:editId="0010F73B">
            <wp:simplePos x="0" y="0"/>
            <wp:positionH relativeFrom="margin">
              <wp:posOffset>1568295</wp:posOffset>
            </wp:positionH>
            <wp:positionV relativeFrom="margin">
              <wp:posOffset>1729610</wp:posOffset>
            </wp:positionV>
            <wp:extent cx="3181985" cy="69088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I_Logo_Horizontal_Black_transparent.png"/>
                    <pic:cNvPicPr/>
                  </pic:nvPicPr>
                  <pic:blipFill>
                    <a:blip r:embed="rId12">
                      <a:extLst>
                        <a:ext uri="{28A0092B-C50C-407E-A947-70E740481C1C}">
                          <a14:useLocalDpi xmlns:a14="http://schemas.microsoft.com/office/drawing/2010/main" val="0"/>
                        </a:ext>
                      </a:extLst>
                    </a:blip>
                    <a:stretch>
                      <a:fillRect/>
                    </a:stretch>
                  </pic:blipFill>
                  <pic:spPr>
                    <a:xfrm>
                      <a:off x="0" y="0"/>
                      <a:ext cx="3181985" cy="690880"/>
                    </a:xfrm>
                    <a:prstGeom prst="rect">
                      <a:avLst/>
                    </a:prstGeom>
                  </pic:spPr>
                </pic:pic>
              </a:graphicData>
            </a:graphic>
            <wp14:sizeRelH relativeFrom="margin">
              <wp14:pctWidth>0</wp14:pctWidth>
            </wp14:sizeRelH>
            <wp14:sizeRelV relativeFrom="margin">
              <wp14:pctHeight>0</wp14:pctHeight>
            </wp14:sizeRelV>
          </wp:anchor>
        </w:drawing>
      </w:r>
    </w:p>
    <w:p w14:paraId="4A7D5226" w14:textId="774BCCB5" w:rsidR="00CB5528" w:rsidRDefault="00CB5528" w:rsidP="00CE427B"/>
    <w:p w14:paraId="44C55053" w14:textId="0268D412" w:rsidR="00CB5528" w:rsidRDefault="00CB5528" w:rsidP="00CE427B"/>
    <w:p w14:paraId="60A755CB" w14:textId="77777777" w:rsidR="00CB5528" w:rsidRDefault="00CB5528" w:rsidP="00CE427B"/>
    <w:p w14:paraId="0E933E31" w14:textId="77777777" w:rsidR="00CB5528" w:rsidRDefault="00CB5528" w:rsidP="00CE427B"/>
    <w:p w14:paraId="10A62A65" w14:textId="77777777" w:rsidR="00CB5528" w:rsidRDefault="00CB5528" w:rsidP="00CE427B"/>
    <w:p w14:paraId="51B5298D" w14:textId="14809CD6" w:rsidR="00CB5528" w:rsidRDefault="00CB5528" w:rsidP="00CE427B"/>
    <w:p w14:paraId="250D6DB3" w14:textId="77777777" w:rsidR="00EE6105" w:rsidRDefault="00EE6105" w:rsidP="00CE427B"/>
    <w:p w14:paraId="2E07DD4A" w14:textId="77777777" w:rsidR="00CB5528" w:rsidRDefault="00CB5528" w:rsidP="00CE427B"/>
    <w:p w14:paraId="56898469" w14:textId="557CC7CA" w:rsidR="00CB5528" w:rsidRDefault="009F2957" w:rsidP="00CE427B">
      <w:pPr>
        <w:pStyle w:val="Heading1"/>
      </w:pPr>
      <w:bookmarkStart w:id="1" w:name="_Toc49417856"/>
      <w:bookmarkStart w:id="2" w:name="_Toc49419925"/>
      <w:bookmarkStart w:id="3" w:name="_Toc49462448"/>
      <w:r>
        <w:t>Fostering employment for people with intellectual disability: the evidence to date</w:t>
      </w:r>
      <w:bookmarkEnd w:id="1"/>
      <w:bookmarkEnd w:id="2"/>
      <w:bookmarkEnd w:id="3"/>
    </w:p>
    <w:p w14:paraId="74A98B1B" w14:textId="77777777" w:rsidR="00CB5528" w:rsidRDefault="00CB5528" w:rsidP="00CE427B"/>
    <w:p w14:paraId="274A7848" w14:textId="77777777" w:rsidR="00CB5528" w:rsidRDefault="00CB5528" w:rsidP="00CE427B"/>
    <w:p w14:paraId="6EF5242A" w14:textId="77777777" w:rsidR="00CB5528" w:rsidRDefault="00CB5528" w:rsidP="00CE427B"/>
    <w:p w14:paraId="4D79606F" w14:textId="60C42372" w:rsidR="00CB5528" w:rsidRPr="00F04C88" w:rsidRDefault="009F2957" w:rsidP="00CE427B">
      <w:pPr>
        <w:rPr>
          <w:rFonts w:ascii="Arial" w:hAnsi="Arial" w:cs="Arial"/>
          <w:sz w:val="32"/>
          <w:szCs w:val="28"/>
        </w:rPr>
      </w:pPr>
      <w:r w:rsidRPr="00F04C88">
        <w:rPr>
          <w:rFonts w:ascii="Arial" w:hAnsi="Arial" w:cs="Arial"/>
          <w:sz w:val="28"/>
          <w:szCs w:val="24"/>
        </w:rPr>
        <w:t>Erin Wilson</w:t>
      </w:r>
      <w:r w:rsidR="00F04C88" w:rsidRPr="00F04C88">
        <w:rPr>
          <w:rFonts w:ascii="Arial" w:hAnsi="Arial" w:cs="Arial"/>
          <w:sz w:val="28"/>
          <w:szCs w:val="24"/>
        </w:rPr>
        <w:t xml:space="preserve"> and Robert Campain</w:t>
      </w:r>
    </w:p>
    <w:p w14:paraId="0D425B8B" w14:textId="4BCC94D6" w:rsidR="00CB5528" w:rsidRPr="00F04C88" w:rsidRDefault="009F2957" w:rsidP="00CE427B">
      <w:pPr>
        <w:pStyle w:val="Heading2"/>
        <w:rPr>
          <w:b w:val="0"/>
          <w:bCs/>
          <w:i w:val="0"/>
          <w:iCs/>
        </w:rPr>
      </w:pPr>
      <w:bookmarkStart w:id="4" w:name="_Toc49417857"/>
      <w:bookmarkStart w:id="5" w:name="_Toc49419926"/>
      <w:r w:rsidRPr="00F04C88">
        <w:rPr>
          <w:b w:val="0"/>
          <w:bCs/>
          <w:i w:val="0"/>
          <w:iCs/>
        </w:rPr>
        <w:t>August 2020</w:t>
      </w:r>
      <w:bookmarkEnd w:id="4"/>
      <w:bookmarkEnd w:id="5"/>
    </w:p>
    <w:p w14:paraId="0276C551" w14:textId="5F90A56D" w:rsidR="009F2957" w:rsidRDefault="009F2957" w:rsidP="00CE427B"/>
    <w:p w14:paraId="4B273EB5" w14:textId="3B9D861D" w:rsidR="00F04C88" w:rsidRDefault="00F04C88" w:rsidP="00CE427B"/>
    <w:p w14:paraId="252ED0A4" w14:textId="1006EFB5" w:rsidR="00F04C88" w:rsidRDefault="00F04C88" w:rsidP="00CE427B"/>
    <w:p w14:paraId="7526BB35" w14:textId="69E8D2E4" w:rsidR="00F04C88" w:rsidRDefault="00F04C88" w:rsidP="00CE427B"/>
    <w:p w14:paraId="23EF71BC" w14:textId="33EB0B45" w:rsidR="00F04C88" w:rsidRDefault="00F04C88" w:rsidP="00CE427B"/>
    <w:p w14:paraId="5B1C24F7" w14:textId="61C2FBD5" w:rsidR="00F04C88" w:rsidRDefault="00F04C88" w:rsidP="00CE427B"/>
    <w:p w14:paraId="10440DFF" w14:textId="1DD9AD88" w:rsidR="00F04C88" w:rsidRDefault="00F04C88" w:rsidP="00CE427B"/>
    <w:p w14:paraId="42E2EF3B" w14:textId="17008673" w:rsidR="00F04C88" w:rsidRDefault="00F04C88" w:rsidP="00CE427B"/>
    <w:p w14:paraId="0A329F5B" w14:textId="65B45282" w:rsidR="00F04C88" w:rsidRPr="00F04C88" w:rsidRDefault="00F04C88" w:rsidP="00CE427B">
      <w:pPr>
        <w:ind w:left="993" w:right="1476"/>
        <w:rPr>
          <w:rFonts w:ascii="Arial Nova Light" w:hAnsi="Arial Nova Light"/>
          <w:sz w:val="18"/>
          <w:szCs w:val="16"/>
        </w:rPr>
      </w:pPr>
      <w:r w:rsidRPr="00F04C88">
        <w:rPr>
          <w:rFonts w:ascii="Arial Nova Light" w:hAnsi="Arial Nova Light" w:cs="Arial"/>
          <w:sz w:val="22"/>
          <w:szCs w:val="22"/>
        </w:rPr>
        <w:t xml:space="preserve">This document has been prepared by </w:t>
      </w:r>
      <w:r w:rsidR="00E55CF1">
        <w:rPr>
          <w:rFonts w:ascii="Arial Nova Light" w:hAnsi="Arial Nova Light" w:cs="Arial"/>
          <w:sz w:val="22"/>
          <w:szCs w:val="22"/>
        </w:rPr>
        <w:t xml:space="preserve">the </w:t>
      </w:r>
      <w:r w:rsidRPr="00F04C88">
        <w:rPr>
          <w:rFonts w:ascii="Arial Nova Light" w:hAnsi="Arial Nova Light" w:cs="Arial"/>
          <w:sz w:val="22"/>
          <w:szCs w:val="22"/>
        </w:rPr>
        <w:t>Centre for Social Impact Swinburne for Inclusion Australia as part of the ‘Employment First’ project, funded by the National Disability Insurance Agency.</w:t>
      </w:r>
    </w:p>
    <w:p w14:paraId="3B4C2A5F" w14:textId="74024C96" w:rsidR="009F2957" w:rsidRDefault="009F2957" w:rsidP="00CE427B"/>
    <w:p w14:paraId="1740FAAD" w14:textId="77777777" w:rsidR="009F2957" w:rsidRPr="009F2957" w:rsidRDefault="009F2957" w:rsidP="00CE427B"/>
    <w:p w14:paraId="25A786FB" w14:textId="26F20914" w:rsidR="009F2957" w:rsidRDefault="009F2957" w:rsidP="00CE427B"/>
    <w:p w14:paraId="2E52F917" w14:textId="77777777" w:rsidR="009F2957" w:rsidRDefault="009F2957" w:rsidP="00CE427B"/>
    <w:p w14:paraId="45BEA7D5" w14:textId="77777777" w:rsidR="00CB5528" w:rsidRDefault="00CB5528" w:rsidP="00CE427B"/>
    <w:p w14:paraId="6A853CF6" w14:textId="77777777" w:rsidR="00EE6105" w:rsidRDefault="00EE6105" w:rsidP="00CE427B">
      <w:pPr>
        <w:rPr>
          <w:b/>
          <w:bCs/>
        </w:rPr>
        <w:sectPr w:rsidR="00EE6105" w:rsidSect="008926C2">
          <w:footerReference w:type="default" r:id="rId13"/>
          <w:pgSz w:w="11909" w:h="16834" w:code="9"/>
          <w:pgMar w:top="964" w:right="964" w:bottom="964" w:left="964" w:header="851" w:footer="851" w:gutter="0"/>
          <w:cols w:space="720"/>
          <w:titlePg/>
          <w:docGrid w:linePitch="286"/>
        </w:sectPr>
      </w:pPr>
      <w:bookmarkStart w:id="6" w:name="_Toc328749945"/>
      <w:bookmarkStart w:id="7" w:name="_Toc251060375"/>
      <w:bookmarkStart w:id="8" w:name="_Toc348338692"/>
      <w:bookmarkStart w:id="9" w:name="_Toc321249364"/>
      <w:bookmarkStart w:id="10" w:name="_Toc348940310"/>
    </w:p>
    <w:p w14:paraId="3A98FCC7" w14:textId="19EB14AF" w:rsidR="00B33BFC" w:rsidRDefault="00F04C88" w:rsidP="00CE427B">
      <w:pPr>
        <w:pStyle w:val="Heading2"/>
      </w:pPr>
      <w:bookmarkStart w:id="11" w:name="_Toc49417858"/>
      <w:bookmarkStart w:id="12" w:name="_Toc49419927"/>
      <w:r>
        <w:lastRenderedPageBreak/>
        <w:t>About this report</w:t>
      </w:r>
      <w:bookmarkEnd w:id="11"/>
      <w:bookmarkEnd w:id="12"/>
    </w:p>
    <w:p w14:paraId="1F3EB73E" w14:textId="4B621309" w:rsidR="00F04C88" w:rsidRPr="00F04C88" w:rsidRDefault="00EE6105" w:rsidP="00CE427B">
      <w:pPr>
        <w:spacing w:line="276" w:lineRule="auto"/>
      </w:pPr>
      <w:r>
        <w:t xml:space="preserve">This report </w:t>
      </w:r>
      <w:r w:rsidR="00E55CF1">
        <w:t>present</w:t>
      </w:r>
      <w:r>
        <w:t xml:space="preserve">s a set of ‘evidence pieces’ commissioned by Inclusion Australia to inform the creation of </w:t>
      </w:r>
      <w:r w:rsidR="00E55CF1">
        <w:t xml:space="preserve">a </w:t>
      </w:r>
      <w:r>
        <w:t xml:space="preserve">website developed by Inclusion Australia as part of the ‘Employment First’ (E1) project. </w:t>
      </w:r>
    </w:p>
    <w:p w14:paraId="01FCEC90" w14:textId="3E5808CE" w:rsidR="00F04C88" w:rsidRDefault="00F04C88" w:rsidP="00CE427B">
      <w:pPr>
        <w:spacing w:line="276" w:lineRule="auto"/>
        <w:rPr>
          <w:b/>
          <w:bCs/>
        </w:rPr>
      </w:pPr>
    </w:p>
    <w:p w14:paraId="52569942" w14:textId="37897013" w:rsidR="00F04C88" w:rsidRDefault="00F04C88" w:rsidP="00CE427B">
      <w:pPr>
        <w:pStyle w:val="Heading2"/>
      </w:pPr>
      <w:bookmarkStart w:id="13" w:name="_Toc49417859"/>
      <w:bookmarkStart w:id="14" w:name="_Toc49419928"/>
      <w:r>
        <w:t>Suggested citation</w:t>
      </w:r>
      <w:bookmarkEnd w:id="13"/>
      <w:bookmarkEnd w:id="14"/>
    </w:p>
    <w:p w14:paraId="2E9D6597" w14:textId="7813F371" w:rsidR="00F04C88" w:rsidRPr="00F04C88" w:rsidRDefault="00F04C88" w:rsidP="00CE427B">
      <w:pPr>
        <w:spacing w:line="276" w:lineRule="auto"/>
      </w:pPr>
      <w:r>
        <w:t xml:space="preserve">Wilson, E. &amp; Campain, R. (2020). </w:t>
      </w:r>
      <w:r>
        <w:rPr>
          <w:i/>
          <w:iCs/>
        </w:rPr>
        <w:t>Fostering employment for people with intellectual disability: the evidence to date,</w:t>
      </w:r>
      <w:r>
        <w:t xml:space="preserve"> Hawthorn, Centre for Social Impact, Swinburne University of Technology.</w:t>
      </w:r>
    </w:p>
    <w:p w14:paraId="2A068CCE" w14:textId="48D30D5C" w:rsidR="00F04C88" w:rsidRDefault="00F04C88" w:rsidP="00CE427B">
      <w:pPr>
        <w:spacing w:line="276" w:lineRule="auto"/>
        <w:rPr>
          <w:b/>
          <w:bCs/>
        </w:rPr>
      </w:pPr>
    </w:p>
    <w:p w14:paraId="63B45CC9" w14:textId="3F7C3303" w:rsidR="00F04C88" w:rsidRDefault="00F04C88" w:rsidP="00CE427B">
      <w:pPr>
        <w:pStyle w:val="Heading2"/>
      </w:pPr>
      <w:bookmarkStart w:id="15" w:name="_Toc49417860"/>
      <w:bookmarkStart w:id="16" w:name="_Toc49419929"/>
      <w:r>
        <w:t>Research team</w:t>
      </w:r>
      <w:bookmarkEnd w:id="15"/>
      <w:bookmarkEnd w:id="16"/>
    </w:p>
    <w:p w14:paraId="22C38673" w14:textId="22106495" w:rsidR="00F04C88" w:rsidRDefault="00F04C88" w:rsidP="00CE427B">
      <w:pPr>
        <w:spacing w:line="276" w:lineRule="auto"/>
      </w:pPr>
      <w:r>
        <w:t xml:space="preserve">The research project was undertaken by the Centre for Social Impact, Swinburne University of Technology, under the leadership of Professor Erin Wilson together with Dr Robert Campain. The research team would like to acknowledge the contributions of </w:t>
      </w:r>
      <w:proofErr w:type="spellStart"/>
      <w:r>
        <w:t>Ms</w:t>
      </w:r>
      <w:proofErr w:type="spellEnd"/>
      <w:r>
        <w:t xml:space="preserve"> Jenny Crosbie, Dr Joanne Qian, </w:t>
      </w:r>
      <w:proofErr w:type="spellStart"/>
      <w:r>
        <w:t>Ms</w:t>
      </w:r>
      <w:proofErr w:type="spellEnd"/>
      <w:r>
        <w:t xml:space="preserve"> Aurora </w:t>
      </w:r>
      <w:proofErr w:type="spellStart"/>
      <w:r>
        <w:t>Elmes</w:t>
      </w:r>
      <w:proofErr w:type="spellEnd"/>
      <w:r>
        <w:t>, Dr Andrew Joyce</w:t>
      </w:r>
      <w:r w:rsidR="00D334CE">
        <w:t xml:space="preserve"> and </w:t>
      </w:r>
      <w:proofErr w:type="spellStart"/>
      <w:r w:rsidR="00D334CE">
        <w:t>Mr</w:t>
      </w:r>
      <w:proofErr w:type="spellEnd"/>
      <w:r w:rsidR="00D334CE">
        <w:t xml:space="preserve"> James Kelly</w:t>
      </w:r>
      <w:r>
        <w:t xml:space="preserve"> (of </w:t>
      </w:r>
      <w:r w:rsidR="00E55CF1">
        <w:t xml:space="preserve">the </w:t>
      </w:r>
      <w:r>
        <w:t>Centre for Social Impact) and Dr Kevin Murfitt (Deakin University) who have collaborated in the sharing of information and analysis regarding a range of research related to the employment of people with a disability.</w:t>
      </w:r>
    </w:p>
    <w:bookmarkEnd w:id="6"/>
    <w:bookmarkEnd w:id="7"/>
    <w:bookmarkEnd w:id="8"/>
    <w:bookmarkEnd w:id="9"/>
    <w:bookmarkEnd w:id="10"/>
    <w:p w14:paraId="37DD496C" w14:textId="77777777" w:rsidR="009F2957" w:rsidRDefault="009F2957" w:rsidP="00CE427B">
      <w:pPr>
        <w:spacing w:before="0"/>
        <w:rPr>
          <w:rFonts w:ascii="Arial" w:hAnsi="Arial" w:cs="Arial"/>
          <w:b/>
          <w:caps/>
          <w:color w:val="DA291C"/>
          <w:kern w:val="28"/>
          <w:sz w:val="28"/>
          <w:szCs w:val="28"/>
        </w:rPr>
      </w:pPr>
      <w:r>
        <w:br w:type="page"/>
      </w:r>
    </w:p>
    <w:p w14:paraId="2611C6B8" w14:textId="77777777" w:rsidR="00493BA7" w:rsidRDefault="00493BA7" w:rsidP="00B92831">
      <w:pPr>
        <w:pStyle w:val="Heading1"/>
      </w:pPr>
      <w:bookmarkStart w:id="17" w:name="_Toc49417861"/>
      <w:bookmarkStart w:id="18" w:name="_Toc49419930"/>
      <w:bookmarkStart w:id="19" w:name="_Toc49462449"/>
      <w:r>
        <w:lastRenderedPageBreak/>
        <w:t>C</w:t>
      </w:r>
      <w:r w:rsidR="00B50AF0">
        <w:t>ontents</w:t>
      </w:r>
      <w:bookmarkEnd w:id="17"/>
      <w:bookmarkEnd w:id="18"/>
      <w:bookmarkEnd w:id="19"/>
    </w:p>
    <w:sdt>
      <w:sdtPr>
        <w:rPr>
          <w:rFonts w:ascii="Calibri" w:hAnsi="Calibri" w:cs="Times New Roman"/>
          <w:b w:val="0"/>
          <w:bCs/>
          <w:i/>
          <w:iCs/>
          <w:caps w:val="0"/>
          <w:smallCaps/>
          <w:noProof/>
          <w:color w:val="auto"/>
          <w:kern w:val="0"/>
          <w:sz w:val="21"/>
          <w:szCs w:val="20"/>
        </w:rPr>
        <w:id w:val="-630015002"/>
        <w:docPartObj>
          <w:docPartGallery w:val="Table of Contents"/>
          <w:docPartUnique/>
        </w:docPartObj>
      </w:sdtPr>
      <w:sdtEndPr>
        <w:rPr>
          <w:rFonts w:asciiTheme="minorHAnsi" w:hAnsiTheme="minorHAnsi" w:cstheme="minorHAnsi"/>
          <w:b/>
          <w:smallCaps w:val="0"/>
          <w:noProof w:val="0"/>
          <w:sz w:val="24"/>
          <w:szCs w:val="24"/>
        </w:rPr>
      </w:sdtEndPr>
      <w:sdtContent>
        <w:p w14:paraId="4AA1E2A1" w14:textId="4C885AD7" w:rsidR="000D54FF" w:rsidRPr="00B50AF0" w:rsidRDefault="000D54FF" w:rsidP="00493BA7">
          <w:pPr>
            <w:pStyle w:val="Heading1"/>
            <w:rPr>
              <w:sz w:val="2"/>
              <w:szCs w:val="2"/>
            </w:rPr>
          </w:pPr>
        </w:p>
        <w:p w14:paraId="08A7F5AD" w14:textId="3D7CE873" w:rsidR="00E00C6C" w:rsidRPr="00C14ADD" w:rsidRDefault="00E00C6C" w:rsidP="00F90B8A">
          <w:pPr>
            <w:pStyle w:val="TOC1"/>
            <w:rPr>
              <w:rFonts w:eastAsiaTheme="minorEastAsia" w:cstheme="minorBidi"/>
              <w:noProof/>
              <w:sz w:val="22"/>
              <w:szCs w:val="22"/>
              <w:lang w:val="en-AU" w:eastAsia="en-AU"/>
            </w:rPr>
          </w:pPr>
          <w:r w:rsidRPr="005B5064">
            <w:rPr>
              <w:rFonts w:eastAsiaTheme="minorEastAsia" w:cstheme="minorBidi"/>
              <w:smallCaps/>
              <w:lang w:val="en-AU" w:eastAsia="en-AU"/>
            </w:rPr>
            <w:fldChar w:fldCharType="begin"/>
          </w:r>
          <w:r w:rsidRPr="005B5064">
            <w:rPr>
              <w:rFonts w:eastAsiaTheme="minorEastAsia" w:cstheme="minorBidi"/>
              <w:smallCaps/>
              <w:lang w:val="en-AU" w:eastAsia="en-AU"/>
            </w:rPr>
            <w:instrText xml:space="preserve"> TOC \o "1-1" \h \z \u </w:instrText>
          </w:r>
          <w:r w:rsidRPr="005B5064">
            <w:rPr>
              <w:rFonts w:eastAsiaTheme="minorEastAsia" w:cstheme="minorBidi"/>
              <w:smallCaps/>
              <w:lang w:val="en-AU" w:eastAsia="en-AU"/>
            </w:rPr>
            <w:fldChar w:fldCharType="separate"/>
          </w:r>
          <w:hyperlink w:anchor="_Toc49462451" w:history="1">
            <w:r w:rsidRPr="00C14ADD">
              <w:rPr>
                <w:rStyle w:val="Hyperlink"/>
                <w:b w:val="0"/>
                <w:noProof/>
                <w:u w:val="none"/>
              </w:rPr>
              <w:t>Background</w:t>
            </w:r>
            <w:r w:rsidR="0076143A">
              <w:rPr>
                <w:noProof/>
                <w:webHidden/>
              </w:rPr>
              <w:t xml:space="preserve">                                                                                                                            </w:t>
            </w:r>
            <w:r w:rsidR="00753A3D">
              <w:rPr>
                <w:noProof/>
                <w:webHidden/>
              </w:rPr>
              <w:t xml:space="preserve"> </w:t>
            </w:r>
            <w:r w:rsidR="0076143A">
              <w:rPr>
                <w:noProof/>
                <w:webHidden/>
              </w:rPr>
              <w:t xml:space="preserve"> </w:t>
            </w:r>
            <w:r w:rsidR="00753A3D">
              <w:rPr>
                <w:noProof/>
                <w:webHidden/>
              </w:rPr>
              <w:t xml:space="preserve"> </w:t>
            </w:r>
            <w:r w:rsidRPr="00C14ADD">
              <w:rPr>
                <w:noProof/>
                <w:webHidden/>
              </w:rPr>
              <w:fldChar w:fldCharType="begin"/>
            </w:r>
            <w:r w:rsidRPr="00C14ADD">
              <w:rPr>
                <w:noProof/>
                <w:webHidden/>
              </w:rPr>
              <w:instrText xml:space="preserve"> PAGEREF _Toc49462451 \h </w:instrText>
            </w:r>
            <w:r w:rsidRPr="00C14ADD">
              <w:rPr>
                <w:noProof/>
                <w:webHidden/>
              </w:rPr>
            </w:r>
            <w:r w:rsidRPr="00C14ADD">
              <w:rPr>
                <w:noProof/>
                <w:webHidden/>
              </w:rPr>
              <w:fldChar w:fldCharType="separate"/>
            </w:r>
            <w:r w:rsidR="00BF7150">
              <w:rPr>
                <w:noProof/>
                <w:webHidden/>
              </w:rPr>
              <w:t>5</w:t>
            </w:r>
            <w:r w:rsidRPr="00C14ADD">
              <w:rPr>
                <w:noProof/>
                <w:webHidden/>
              </w:rPr>
              <w:fldChar w:fldCharType="end"/>
            </w:r>
          </w:hyperlink>
        </w:p>
        <w:p w14:paraId="2E889E7A" w14:textId="19B282B0" w:rsidR="00E00C6C" w:rsidRPr="00C14ADD" w:rsidRDefault="00125D38" w:rsidP="00F90B8A">
          <w:pPr>
            <w:pStyle w:val="TOC1"/>
            <w:rPr>
              <w:rFonts w:eastAsiaTheme="minorEastAsia" w:cstheme="minorBidi"/>
              <w:noProof/>
              <w:sz w:val="22"/>
              <w:szCs w:val="22"/>
              <w:lang w:val="en-AU" w:eastAsia="en-AU"/>
            </w:rPr>
          </w:pPr>
          <w:hyperlink w:anchor="_Toc49462452" w:history="1">
            <w:r w:rsidR="00E00C6C" w:rsidRPr="00C14ADD">
              <w:rPr>
                <w:rStyle w:val="Hyperlink"/>
                <w:b w:val="0"/>
                <w:noProof/>
                <w:u w:val="none"/>
              </w:rPr>
              <w:t>About the research design</w:t>
            </w:r>
            <w:r w:rsidR="0076143A">
              <w:rPr>
                <w:noProof/>
                <w:webHidden/>
              </w:rPr>
              <w:t xml:space="preserve">                                                                                                   </w:t>
            </w:r>
            <w:r w:rsidR="00753A3D">
              <w:rPr>
                <w:noProof/>
                <w:webHidden/>
              </w:rPr>
              <w:t xml:space="preserve"> </w:t>
            </w:r>
            <w:r w:rsidR="0076143A">
              <w:rPr>
                <w:noProof/>
                <w:webHidden/>
              </w:rPr>
              <w:t xml:space="preserve"> </w:t>
            </w:r>
            <w:r w:rsidR="00753A3D">
              <w:rPr>
                <w:noProof/>
                <w:webHidden/>
              </w:rPr>
              <w:t xml:space="preserve"> </w:t>
            </w:r>
            <w:r w:rsidR="00E00C6C" w:rsidRPr="00C14ADD">
              <w:rPr>
                <w:noProof/>
                <w:webHidden/>
              </w:rPr>
              <w:fldChar w:fldCharType="begin"/>
            </w:r>
            <w:r w:rsidR="00E00C6C" w:rsidRPr="00C14ADD">
              <w:rPr>
                <w:noProof/>
                <w:webHidden/>
              </w:rPr>
              <w:instrText xml:space="preserve"> PAGEREF _Toc49462452 \h </w:instrText>
            </w:r>
            <w:r w:rsidR="00E00C6C" w:rsidRPr="00C14ADD">
              <w:rPr>
                <w:noProof/>
                <w:webHidden/>
              </w:rPr>
            </w:r>
            <w:r w:rsidR="00E00C6C" w:rsidRPr="00C14ADD">
              <w:rPr>
                <w:noProof/>
                <w:webHidden/>
              </w:rPr>
              <w:fldChar w:fldCharType="separate"/>
            </w:r>
            <w:r w:rsidR="00BF7150">
              <w:rPr>
                <w:noProof/>
                <w:webHidden/>
              </w:rPr>
              <w:t>6</w:t>
            </w:r>
            <w:r w:rsidR="00E00C6C" w:rsidRPr="00C14ADD">
              <w:rPr>
                <w:noProof/>
                <w:webHidden/>
              </w:rPr>
              <w:fldChar w:fldCharType="end"/>
            </w:r>
          </w:hyperlink>
        </w:p>
        <w:p w14:paraId="4A3483BD" w14:textId="3C08D8BF" w:rsidR="00E00C6C" w:rsidRPr="00C14ADD" w:rsidRDefault="00125D38" w:rsidP="00F90B8A">
          <w:pPr>
            <w:pStyle w:val="TOC1"/>
            <w:rPr>
              <w:rFonts w:eastAsiaTheme="minorEastAsia" w:cstheme="minorBidi"/>
              <w:noProof/>
              <w:sz w:val="22"/>
              <w:szCs w:val="22"/>
              <w:lang w:val="en-AU" w:eastAsia="en-AU"/>
            </w:rPr>
          </w:pPr>
          <w:hyperlink w:anchor="_Toc49462453" w:history="1">
            <w:r w:rsidR="00E00C6C" w:rsidRPr="00C14ADD">
              <w:rPr>
                <w:rStyle w:val="Hyperlink"/>
                <w:b w:val="0"/>
                <w:noProof/>
                <w:u w:val="none"/>
              </w:rPr>
              <w:t>Structure of this report</w:t>
            </w:r>
            <w:r w:rsidR="0076143A">
              <w:rPr>
                <w:noProof/>
                <w:webHidden/>
              </w:rPr>
              <w:t xml:space="preserve">                                                                                                         </w:t>
            </w:r>
            <w:r w:rsidR="00753A3D">
              <w:rPr>
                <w:noProof/>
                <w:webHidden/>
              </w:rPr>
              <w:t xml:space="preserve"> </w:t>
            </w:r>
            <w:r w:rsidR="0076143A">
              <w:rPr>
                <w:noProof/>
                <w:webHidden/>
              </w:rPr>
              <w:t xml:space="preserve"> </w:t>
            </w:r>
            <w:r w:rsidR="00753A3D">
              <w:rPr>
                <w:noProof/>
                <w:webHidden/>
              </w:rPr>
              <w:t xml:space="preserve"> </w:t>
            </w:r>
            <w:r w:rsidR="00E00C6C" w:rsidRPr="00C14ADD">
              <w:rPr>
                <w:noProof/>
                <w:webHidden/>
              </w:rPr>
              <w:fldChar w:fldCharType="begin"/>
            </w:r>
            <w:r w:rsidR="00E00C6C" w:rsidRPr="00C14ADD">
              <w:rPr>
                <w:noProof/>
                <w:webHidden/>
              </w:rPr>
              <w:instrText xml:space="preserve"> PAGEREF _Toc49462453 \h </w:instrText>
            </w:r>
            <w:r w:rsidR="00E00C6C" w:rsidRPr="00C14ADD">
              <w:rPr>
                <w:noProof/>
                <w:webHidden/>
              </w:rPr>
            </w:r>
            <w:r w:rsidR="00E00C6C" w:rsidRPr="00C14ADD">
              <w:rPr>
                <w:noProof/>
                <w:webHidden/>
              </w:rPr>
              <w:fldChar w:fldCharType="separate"/>
            </w:r>
            <w:r w:rsidR="00BF7150">
              <w:rPr>
                <w:noProof/>
                <w:webHidden/>
              </w:rPr>
              <w:t>7</w:t>
            </w:r>
            <w:r w:rsidR="00E00C6C" w:rsidRPr="00C14ADD">
              <w:rPr>
                <w:noProof/>
                <w:webHidden/>
              </w:rPr>
              <w:fldChar w:fldCharType="end"/>
            </w:r>
          </w:hyperlink>
        </w:p>
        <w:p w14:paraId="5BAEC632" w14:textId="739D0EB4" w:rsidR="00E00C6C" w:rsidRPr="00C14ADD" w:rsidRDefault="00125D38" w:rsidP="00F90B8A">
          <w:pPr>
            <w:pStyle w:val="TOC1"/>
            <w:rPr>
              <w:rFonts w:eastAsiaTheme="minorEastAsia" w:cstheme="minorBidi"/>
              <w:noProof/>
              <w:sz w:val="22"/>
              <w:szCs w:val="22"/>
              <w:lang w:val="en-AU" w:eastAsia="en-AU"/>
            </w:rPr>
          </w:pPr>
          <w:hyperlink w:anchor="_Toc49462454" w:history="1">
            <w:r w:rsidR="00E00C6C" w:rsidRPr="00C14ADD">
              <w:rPr>
                <w:rStyle w:val="Hyperlink"/>
                <w:b w:val="0"/>
                <w:noProof/>
                <w:u w:val="none"/>
              </w:rPr>
              <w:t xml:space="preserve">Synthesis: </w:t>
            </w:r>
            <w:r w:rsidR="003D6692">
              <w:rPr>
                <w:rStyle w:val="Hyperlink"/>
                <w:b w:val="0"/>
                <w:noProof/>
                <w:u w:val="none"/>
              </w:rPr>
              <w:t>H</w:t>
            </w:r>
            <w:r w:rsidR="00E00C6C" w:rsidRPr="00C14ADD">
              <w:rPr>
                <w:rStyle w:val="Hyperlink"/>
                <w:b w:val="0"/>
                <w:noProof/>
                <w:u w:val="none"/>
              </w:rPr>
              <w:t>ow can employment of people with intellectual disability be fostered?</w:t>
            </w:r>
            <w:r w:rsidR="00753A3D">
              <w:rPr>
                <w:rStyle w:val="Hyperlink"/>
                <w:b w:val="0"/>
                <w:noProof/>
                <w:u w:val="none"/>
              </w:rPr>
              <w:t xml:space="preserve"> </w:t>
            </w:r>
            <w:r w:rsidR="0076143A">
              <w:rPr>
                <w:noProof/>
                <w:webHidden/>
              </w:rPr>
              <w:t xml:space="preserve"> </w:t>
            </w:r>
            <w:r w:rsidR="00343E06">
              <w:rPr>
                <w:noProof/>
                <w:webHidden/>
              </w:rPr>
              <w:t xml:space="preserve"> </w:t>
            </w:r>
            <w:r w:rsidR="00E00C6C" w:rsidRPr="00C14ADD">
              <w:rPr>
                <w:noProof/>
                <w:webHidden/>
              </w:rPr>
              <w:fldChar w:fldCharType="begin"/>
            </w:r>
            <w:r w:rsidR="00E00C6C" w:rsidRPr="00C14ADD">
              <w:rPr>
                <w:noProof/>
                <w:webHidden/>
              </w:rPr>
              <w:instrText xml:space="preserve"> PAGEREF _Toc49462454 \h </w:instrText>
            </w:r>
            <w:r w:rsidR="00E00C6C" w:rsidRPr="00C14ADD">
              <w:rPr>
                <w:noProof/>
                <w:webHidden/>
              </w:rPr>
            </w:r>
            <w:r w:rsidR="00E00C6C" w:rsidRPr="00C14ADD">
              <w:rPr>
                <w:noProof/>
                <w:webHidden/>
              </w:rPr>
              <w:fldChar w:fldCharType="separate"/>
            </w:r>
            <w:r w:rsidR="00BF7150">
              <w:rPr>
                <w:noProof/>
                <w:webHidden/>
              </w:rPr>
              <w:t>8</w:t>
            </w:r>
            <w:r w:rsidR="00E00C6C" w:rsidRPr="00C14ADD">
              <w:rPr>
                <w:noProof/>
                <w:webHidden/>
              </w:rPr>
              <w:fldChar w:fldCharType="end"/>
            </w:r>
          </w:hyperlink>
        </w:p>
        <w:p w14:paraId="36C87070" w14:textId="1402C36F" w:rsidR="00E00C6C" w:rsidRPr="00C14ADD" w:rsidRDefault="00125D38" w:rsidP="00F90B8A">
          <w:pPr>
            <w:pStyle w:val="TOC1"/>
            <w:rPr>
              <w:rFonts w:eastAsiaTheme="minorEastAsia" w:cstheme="minorBidi"/>
              <w:noProof/>
              <w:sz w:val="22"/>
              <w:szCs w:val="22"/>
              <w:lang w:val="en-AU" w:eastAsia="en-AU"/>
            </w:rPr>
          </w:pPr>
          <w:hyperlink w:anchor="_Toc49462455" w:history="1">
            <w:r w:rsidR="00E00C6C" w:rsidRPr="00C14ADD">
              <w:rPr>
                <w:rStyle w:val="Hyperlink"/>
                <w:b w:val="0"/>
                <w:noProof/>
                <w:u w:val="none"/>
              </w:rPr>
              <w:t>Evidence piece 1:</w:t>
            </w:r>
          </w:hyperlink>
          <w:r w:rsidR="00BE185C" w:rsidRPr="00C14ADD">
            <w:rPr>
              <w:rStyle w:val="Hyperlink"/>
              <w:b w:val="0"/>
              <w:noProof/>
              <w:u w:val="none"/>
            </w:rPr>
            <w:t xml:space="preserve"> </w:t>
          </w:r>
          <w:hyperlink w:anchor="_Toc49462456" w:history="1">
            <w:r w:rsidR="00E00C6C" w:rsidRPr="00C14ADD">
              <w:rPr>
                <w:rStyle w:val="Hyperlink"/>
                <w:b w:val="0"/>
                <w:noProof/>
                <w:u w:val="none"/>
              </w:rPr>
              <w:t xml:space="preserve">Factors positively influencing the employment of people with </w:t>
            </w:r>
            <w:r w:rsidR="00753A3D">
              <w:rPr>
                <w:rStyle w:val="Hyperlink"/>
                <w:b w:val="0"/>
                <w:noProof/>
                <w:u w:val="none"/>
              </w:rPr>
              <w:br/>
            </w:r>
            <w:r w:rsidR="00E00C6C" w:rsidRPr="00C14ADD">
              <w:rPr>
                <w:rStyle w:val="Hyperlink"/>
                <w:b w:val="0"/>
                <w:noProof/>
                <w:u w:val="none"/>
              </w:rPr>
              <w:t>intellectual disability</w:t>
            </w:r>
            <w:r w:rsidR="0076143A">
              <w:rPr>
                <w:noProof/>
                <w:webHidden/>
              </w:rPr>
              <w:t xml:space="preserve"> </w:t>
            </w:r>
            <w:r w:rsidR="00753A3D">
              <w:rPr>
                <w:noProof/>
                <w:webHidden/>
              </w:rPr>
              <w:t xml:space="preserve">                                                                                                           </w:t>
            </w:r>
            <w:r w:rsidR="00343E06">
              <w:rPr>
                <w:noProof/>
                <w:webHidden/>
              </w:rPr>
              <w:t xml:space="preserve">   </w:t>
            </w:r>
            <w:r w:rsidR="00753A3D">
              <w:rPr>
                <w:noProof/>
                <w:webHidden/>
              </w:rPr>
              <w:t xml:space="preserve"> </w:t>
            </w:r>
            <w:r w:rsidR="00E00C6C" w:rsidRPr="00C14ADD">
              <w:rPr>
                <w:noProof/>
                <w:webHidden/>
              </w:rPr>
              <w:fldChar w:fldCharType="begin"/>
            </w:r>
            <w:r w:rsidR="00E00C6C" w:rsidRPr="00C14ADD">
              <w:rPr>
                <w:noProof/>
                <w:webHidden/>
              </w:rPr>
              <w:instrText xml:space="preserve"> PAGEREF _Toc49462456 \h </w:instrText>
            </w:r>
            <w:r w:rsidR="00E00C6C" w:rsidRPr="00C14ADD">
              <w:rPr>
                <w:noProof/>
                <w:webHidden/>
              </w:rPr>
            </w:r>
            <w:r w:rsidR="00E00C6C" w:rsidRPr="00C14ADD">
              <w:rPr>
                <w:noProof/>
                <w:webHidden/>
              </w:rPr>
              <w:fldChar w:fldCharType="separate"/>
            </w:r>
            <w:r w:rsidR="00BF7150">
              <w:rPr>
                <w:noProof/>
                <w:webHidden/>
              </w:rPr>
              <w:t>10</w:t>
            </w:r>
            <w:r w:rsidR="00E00C6C" w:rsidRPr="00C14ADD">
              <w:rPr>
                <w:noProof/>
                <w:webHidden/>
              </w:rPr>
              <w:fldChar w:fldCharType="end"/>
            </w:r>
          </w:hyperlink>
        </w:p>
        <w:p w14:paraId="6948B37B" w14:textId="0D0C40B7" w:rsidR="00E00C6C" w:rsidRPr="00C14ADD" w:rsidRDefault="00125D38" w:rsidP="00F90B8A">
          <w:pPr>
            <w:pStyle w:val="TOC1"/>
            <w:rPr>
              <w:rFonts w:eastAsiaTheme="minorEastAsia" w:cstheme="minorBidi"/>
              <w:noProof/>
              <w:sz w:val="22"/>
              <w:szCs w:val="22"/>
              <w:lang w:val="en-AU" w:eastAsia="en-AU"/>
            </w:rPr>
          </w:pPr>
          <w:hyperlink w:anchor="_Toc49462457" w:history="1">
            <w:r w:rsidR="00E00C6C" w:rsidRPr="00C14ADD">
              <w:rPr>
                <w:rStyle w:val="Hyperlink"/>
                <w:b w:val="0"/>
                <w:noProof/>
                <w:u w:val="none"/>
              </w:rPr>
              <w:t>Evidence piece 2:</w:t>
            </w:r>
          </w:hyperlink>
          <w:r w:rsidR="00BE185C" w:rsidRPr="00C14ADD">
            <w:rPr>
              <w:rStyle w:val="Hyperlink"/>
              <w:b w:val="0"/>
              <w:noProof/>
              <w:u w:val="none"/>
            </w:rPr>
            <w:t xml:space="preserve"> </w:t>
          </w:r>
          <w:hyperlink w:anchor="_Toc49462458" w:history="1">
            <w:r w:rsidR="00E00C6C" w:rsidRPr="00C14ADD">
              <w:rPr>
                <w:rStyle w:val="Hyperlink"/>
                <w:b w:val="0"/>
                <w:noProof/>
                <w:u w:val="none"/>
              </w:rPr>
              <w:t xml:space="preserve">The effect of parental expectations on employment of people </w:t>
            </w:r>
            <w:r w:rsidR="00753A3D">
              <w:rPr>
                <w:rStyle w:val="Hyperlink"/>
                <w:b w:val="0"/>
                <w:noProof/>
                <w:u w:val="none"/>
              </w:rPr>
              <w:br/>
            </w:r>
            <w:r w:rsidR="00E00C6C" w:rsidRPr="00C14ADD">
              <w:rPr>
                <w:rStyle w:val="Hyperlink"/>
                <w:b w:val="0"/>
                <w:noProof/>
                <w:u w:val="none"/>
              </w:rPr>
              <w:t>with intellectual disability</w:t>
            </w:r>
            <w:r w:rsidR="0076143A">
              <w:rPr>
                <w:noProof/>
                <w:webHidden/>
              </w:rPr>
              <w:t xml:space="preserve"> </w:t>
            </w:r>
            <w:r w:rsidR="00753A3D">
              <w:rPr>
                <w:noProof/>
                <w:webHidden/>
              </w:rPr>
              <w:t xml:space="preserve">                                                                                                   </w:t>
            </w:r>
            <w:r w:rsidR="00343E06">
              <w:rPr>
                <w:noProof/>
                <w:webHidden/>
              </w:rPr>
              <w:t xml:space="preserve">  </w:t>
            </w:r>
            <w:r w:rsidR="00692EEE">
              <w:rPr>
                <w:noProof/>
                <w:webHidden/>
              </w:rPr>
              <w:t xml:space="preserve"> </w:t>
            </w:r>
            <w:r w:rsidR="00E00C6C" w:rsidRPr="00C14ADD">
              <w:rPr>
                <w:noProof/>
                <w:webHidden/>
              </w:rPr>
              <w:fldChar w:fldCharType="begin"/>
            </w:r>
            <w:r w:rsidR="00E00C6C" w:rsidRPr="00C14ADD">
              <w:rPr>
                <w:noProof/>
                <w:webHidden/>
              </w:rPr>
              <w:instrText xml:space="preserve"> PAGEREF _Toc49462458 \h </w:instrText>
            </w:r>
            <w:r w:rsidR="00E00C6C" w:rsidRPr="00C14ADD">
              <w:rPr>
                <w:noProof/>
                <w:webHidden/>
              </w:rPr>
            </w:r>
            <w:r w:rsidR="00E00C6C" w:rsidRPr="00C14ADD">
              <w:rPr>
                <w:noProof/>
                <w:webHidden/>
              </w:rPr>
              <w:fldChar w:fldCharType="separate"/>
            </w:r>
            <w:r w:rsidR="00BF7150">
              <w:rPr>
                <w:noProof/>
                <w:webHidden/>
              </w:rPr>
              <w:t>13</w:t>
            </w:r>
            <w:r w:rsidR="00E00C6C" w:rsidRPr="00C14ADD">
              <w:rPr>
                <w:noProof/>
                <w:webHidden/>
              </w:rPr>
              <w:fldChar w:fldCharType="end"/>
            </w:r>
          </w:hyperlink>
        </w:p>
        <w:p w14:paraId="7F27254D" w14:textId="79FA6C1E" w:rsidR="00E00C6C" w:rsidRPr="00C14ADD" w:rsidRDefault="00125D38" w:rsidP="00F90B8A">
          <w:pPr>
            <w:pStyle w:val="TOC1"/>
            <w:rPr>
              <w:rFonts w:eastAsiaTheme="minorEastAsia" w:cstheme="minorBidi"/>
              <w:noProof/>
              <w:sz w:val="22"/>
              <w:szCs w:val="22"/>
              <w:lang w:val="en-AU" w:eastAsia="en-AU"/>
            </w:rPr>
          </w:pPr>
          <w:hyperlink w:anchor="_Toc49462459" w:history="1">
            <w:r w:rsidR="00E00C6C" w:rsidRPr="00C14ADD">
              <w:rPr>
                <w:rStyle w:val="Hyperlink"/>
                <w:b w:val="0"/>
                <w:noProof/>
                <w:u w:val="none"/>
              </w:rPr>
              <w:t>Evidence piece 3:</w:t>
            </w:r>
          </w:hyperlink>
          <w:r w:rsidR="00BE185C" w:rsidRPr="00C14ADD">
            <w:rPr>
              <w:rStyle w:val="Hyperlink"/>
              <w:b w:val="0"/>
              <w:noProof/>
              <w:u w:val="none"/>
            </w:rPr>
            <w:t xml:space="preserve"> </w:t>
          </w:r>
          <w:hyperlink w:anchor="_Toc49462460" w:history="1">
            <w:r w:rsidR="00E00C6C" w:rsidRPr="00C14ADD">
              <w:rPr>
                <w:rStyle w:val="Hyperlink"/>
                <w:b w:val="0"/>
                <w:noProof/>
                <w:u w:val="none"/>
              </w:rPr>
              <w:t xml:space="preserve">The role of family and friends in influencing employment for </w:t>
            </w:r>
            <w:r w:rsidR="00753A3D">
              <w:rPr>
                <w:rStyle w:val="Hyperlink"/>
                <w:b w:val="0"/>
                <w:noProof/>
                <w:u w:val="none"/>
              </w:rPr>
              <w:br/>
            </w:r>
            <w:r w:rsidR="00E00C6C" w:rsidRPr="00C14ADD">
              <w:rPr>
                <w:rStyle w:val="Hyperlink"/>
                <w:b w:val="0"/>
                <w:noProof/>
                <w:u w:val="none"/>
              </w:rPr>
              <w:t>people with intellectual disability</w:t>
            </w:r>
            <w:r w:rsidR="0076143A">
              <w:rPr>
                <w:noProof/>
                <w:webHidden/>
              </w:rPr>
              <w:t xml:space="preserve"> </w:t>
            </w:r>
            <w:r w:rsidR="00753A3D">
              <w:rPr>
                <w:noProof/>
                <w:webHidden/>
              </w:rPr>
              <w:t xml:space="preserve">                                                                                      </w:t>
            </w:r>
            <w:r w:rsidR="00692EEE">
              <w:rPr>
                <w:noProof/>
                <w:webHidden/>
              </w:rPr>
              <w:t xml:space="preserve">   </w:t>
            </w:r>
            <w:r w:rsidR="00E00C6C" w:rsidRPr="00C14ADD">
              <w:rPr>
                <w:noProof/>
                <w:webHidden/>
              </w:rPr>
              <w:fldChar w:fldCharType="begin"/>
            </w:r>
            <w:r w:rsidR="00E00C6C" w:rsidRPr="00C14ADD">
              <w:rPr>
                <w:noProof/>
                <w:webHidden/>
              </w:rPr>
              <w:instrText xml:space="preserve"> PAGEREF _Toc49462460 \h </w:instrText>
            </w:r>
            <w:r w:rsidR="00E00C6C" w:rsidRPr="00C14ADD">
              <w:rPr>
                <w:noProof/>
                <w:webHidden/>
              </w:rPr>
            </w:r>
            <w:r w:rsidR="00E00C6C" w:rsidRPr="00C14ADD">
              <w:rPr>
                <w:noProof/>
                <w:webHidden/>
              </w:rPr>
              <w:fldChar w:fldCharType="separate"/>
            </w:r>
            <w:r w:rsidR="00BF7150">
              <w:rPr>
                <w:noProof/>
                <w:webHidden/>
              </w:rPr>
              <w:t>15</w:t>
            </w:r>
            <w:r w:rsidR="00E00C6C" w:rsidRPr="00C14ADD">
              <w:rPr>
                <w:noProof/>
                <w:webHidden/>
              </w:rPr>
              <w:fldChar w:fldCharType="end"/>
            </w:r>
          </w:hyperlink>
        </w:p>
        <w:p w14:paraId="707808A5" w14:textId="4358F4EF" w:rsidR="00E00C6C" w:rsidRPr="00C14ADD" w:rsidRDefault="00125D38" w:rsidP="00F90B8A">
          <w:pPr>
            <w:pStyle w:val="TOC1"/>
            <w:rPr>
              <w:rFonts w:eastAsiaTheme="minorEastAsia" w:cstheme="minorBidi"/>
              <w:noProof/>
              <w:sz w:val="22"/>
              <w:szCs w:val="22"/>
              <w:lang w:val="en-AU" w:eastAsia="en-AU"/>
            </w:rPr>
          </w:pPr>
          <w:hyperlink w:anchor="_Toc49462461" w:history="1">
            <w:r w:rsidR="00E00C6C" w:rsidRPr="00C14ADD">
              <w:rPr>
                <w:rStyle w:val="Hyperlink"/>
                <w:b w:val="0"/>
                <w:noProof/>
                <w:u w:val="none"/>
              </w:rPr>
              <w:t>Evidence piece 4:</w:t>
            </w:r>
          </w:hyperlink>
          <w:r w:rsidR="00554169" w:rsidRPr="00C14ADD">
            <w:rPr>
              <w:rStyle w:val="Hyperlink"/>
              <w:b w:val="0"/>
              <w:noProof/>
              <w:u w:val="none"/>
            </w:rPr>
            <w:t xml:space="preserve"> </w:t>
          </w:r>
          <w:hyperlink w:anchor="_Toc49462462" w:history="1">
            <w:r w:rsidR="00E00C6C" w:rsidRPr="00C14ADD">
              <w:rPr>
                <w:rStyle w:val="Hyperlink"/>
                <w:b w:val="0"/>
                <w:noProof/>
                <w:u w:val="none"/>
              </w:rPr>
              <w:t xml:space="preserve">Effects of mainstream vs special schooling on employment </w:t>
            </w:r>
            <w:r w:rsidR="00753A3D">
              <w:rPr>
                <w:rStyle w:val="Hyperlink"/>
                <w:b w:val="0"/>
                <w:noProof/>
                <w:u w:val="none"/>
              </w:rPr>
              <w:br/>
            </w:r>
            <w:r w:rsidR="00E00C6C" w:rsidRPr="00C14ADD">
              <w:rPr>
                <w:rStyle w:val="Hyperlink"/>
                <w:b w:val="0"/>
                <w:noProof/>
                <w:u w:val="none"/>
              </w:rPr>
              <w:t>outcomes for people with intellectual disability</w:t>
            </w:r>
            <w:r w:rsidR="0076143A">
              <w:rPr>
                <w:noProof/>
                <w:webHidden/>
              </w:rPr>
              <w:t xml:space="preserve"> </w:t>
            </w:r>
            <w:r w:rsidR="00753A3D">
              <w:rPr>
                <w:noProof/>
                <w:webHidden/>
              </w:rPr>
              <w:t xml:space="preserve">                                                             </w:t>
            </w:r>
            <w:r w:rsidR="00692EEE">
              <w:rPr>
                <w:noProof/>
                <w:webHidden/>
              </w:rPr>
              <w:t xml:space="preserve">   </w:t>
            </w:r>
            <w:r w:rsidR="00E00C6C" w:rsidRPr="00C14ADD">
              <w:rPr>
                <w:noProof/>
                <w:webHidden/>
              </w:rPr>
              <w:fldChar w:fldCharType="begin"/>
            </w:r>
            <w:r w:rsidR="00E00C6C" w:rsidRPr="00C14ADD">
              <w:rPr>
                <w:noProof/>
                <w:webHidden/>
              </w:rPr>
              <w:instrText xml:space="preserve"> PAGEREF _Toc49462462 \h </w:instrText>
            </w:r>
            <w:r w:rsidR="00E00C6C" w:rsidRPr="00C14ADD">
              <w:rPr>
                <w:noProof/>
                <w:webHidden/>
              </w:rPr>
            </w:r>
            <w:r w:rsidR="00E00C6C" w:rsidRPr="00C14ADD">
              <w:rPr>
                <w:noProof/>
                <w:webHidden/>
              </w:rPr>
              <w:fldChar w:fldCharType="separate"/>
            </w:r>
            <w:r w:rsidR="00BF7150">
              <w:rPr>
                <w:noProof/>
                <w:webHidden/>
              </w:rPr>
              <w:t>18</w:t>
            </w:r>
            <w:r w:rsidR="00E00C6C" w:rsidRPr="00C14ADD">
              <w:rPr>
                <w:noProof/>
                <w:webHidden/>
              </w:rPr>
              <w:fldChar w:fldCharType="end"/>
            </w:r>
          </w:hyperlink>
        </w:p>
        <w:p w14:paraId="721C7EB4" w14:textId="506FE5E2" w:rsidR="00E00C6C" w:rsidRPr="00C14ADD" w:rsidRDefault="00125D38" w:rsidP="00F90B8A">
          <w:pPr>
            <w:pStyle w:val="TOC1"/>
            <w:rPr>
              <w:rFonts w:eastAsiaTheme="minorEastAsia" w:cstheme="minorBidi"/>
              <w:noProof/>
              <w:sz w:val="22"/>
              <w:szCs w:val="22"/>
              <w:lang w:val="en-AU" w:eastAsia="en-AU"/>
            </w:rPr>
          </w:pPr>
          <w:hyperlink w:anchor="_Toc49462463" w:history="1">
            <w:r w:rsidR="00C14ADD" w:rsidRPr="00C14ADD">
              <w:rPr>
                <w:rStyle w:val="Hyperlink"/>
                <w:b w:val="0"/>
                <w:noProof/>
                <w:u w:val="none"/>
              </w:rPr>
              <w:t>E</w:t>
            </w:r>
            <w:r w:rsidR="00E00C6C" w:rsidRPr="00C14ADD">
              <w:rPr>
                <w:rStyle w:val="Hyperlink"/>
                <w:b w:val="0"/>
                <w:noProof/>
                <w:u w:val="none"/>
              </w:rPr>
              <w:t>vidence piece 5:</w:t>
            </w:r>
          </w:hyperlink>
          <w:r w:rsidR="00B21C5C" w:rsidRPr="00C14ADD">
            <w:rPr>
              <w:rStyle w:val="Hyperlink"/>
              <w:b w:val="0"/>
              <w:noProof/>
              <w:u w:val="none"/>
            </w:rPr>
            <w:t xml:space="preserve"> </w:t>
          </w:r>
          <w:hyperlink w:anchor="_Toc49462464" w:history="1">
            <w:r w:rsidR="00E00C6C" w:rsidRPr="00C14ADD">
              <w:rPr>
                <w:rStyle w:val="Hyperlink"/>
                <w:b w:val="0"/>
                <w:noProof/>
                <w:u w:val="none"/>
              </w:rPr>
              <w:t xml:space="preserve">Year 12 completion as a predictor of employment for people </w:t>
            </w:r>
            <w:r w:rsidR="00753A3D">
              <w:rPr>
                <w:rStyle w:val="Hyperlink"/>
                <w:b w:val="0"/>
                <w:noProof/>
                <w:u w:val="none"/>
              </w:rPr>
              <w:br/>
            </w:r>
            <w:r w:rsidR="00E00C6C" w:rsidRPr="00C14ADD">
              <w:rPr>
                <w:rStyle w:val="Hyperlink"/>
                <w:b w:val="0"/>
                <w:noProof/>
                <w:u w:val="none"/>
              </w:rPr>
              <w:t>with intellectual disability</w:t>
            </w:r>
            <w:r w:rsidR="0076143A">
              <w:rPr>
                <w:noProof/>
                <w:webHidden/>
              </w:rPr>
              <w:t xml:space="preserve"> </w:t>
            </w:r>
            <w:r w:rsidR="00753A3D">
              <w:rPr>
                <w:noProof/>
                <w:webHidden/>
              </w:rPr>
              <w:t xml:space="preserve">                                                                                                  </w:t>
            </w:r>
            <w:r w:rsidR="00692EEE">
              <w:rPr>
                <w:noProof/>
                <w:webHidden/>
              </w:rPr>
              <w:t xml:space="preserve">   </w:t>
            </w:r>
            <w:r w:rsidR="00753A3D">
              <w:rPr>
                <w:noProof/>
                <w:webHidden/>
              </w:rPr>
              <w:t xml:space="preserve"> </w:t>
            </w:r>
            <w:r w:rsidR="00E00C6C" w:rsidRPr="00C14ADD">
              <w:rPr>
                <w:noProof/>
                <w:webHidden/>
              </w:rPr>
              <w:fldChar w:fldCharType="begin"/>
            </w:r>
            <w:r w:rsidR="00E00C6C" w:rsidRPr="00C14ADD">
              <w:rPr>
                <w:noProof/>
                <w:webHidden/>
              </w:rPr>
              <w:instrText xml:space="preserve"> PAGEREF _Toc49462464 \h </w:instrText>
            </w:r>
            <w:r w:rsidR="00E00C6C" w:rsidRPr="00C14ADD">
              <w:rPr>
                <w:noProof/>
                <w:webHidden/>
              </w:rPr>
            </w:r>
            <w:r w:rsidR="00E00C6C" w:rsidRPr="00C14ADD">
              <w:rPr>
                <w:noProof/>
                <w:webHidden/>
              </w:rPr>
              <w:fldChar w:fldCharType="separate"/>
            </w:r>
            <w:r w:rsidR="00BF7150">
              <w:rPr>
                <w:noProof/>
                <w:webHidden/>
              </w:rPr>
              <w:t>21</w:t>
            </w:r>
            <w:r w:rsidR="00E00C6C" w:rsidRPr="00C14ADD">
              <w:rPr>
                <w:noProof/>
                <w:webHidden/>
              </w:rPr>
              <w:fldChar w:fldCharType="end"/>
            </w:r>
          </w:hyperlink>
        </w:p>
        <w:p w14:paraId="0BAD946A" w14:textId="09DD501D" w:rsidR="00E00C6C" w:rsidRPr="00C14ADD" w:rsidRDefault="00125D38" w:rsidP="00F90B8A">
          <w:pPr>
            <w:pStyle w:val="TOC1"/>
            <w:rPr>
              <w:rFonts w:eastAsiaTheme="minorEastAsia" w:cstheme="minorBidi"/>
              <w:noProof/>
              <w:sz w:val="22"/>
              <w:szCs w:val="22"/>
              <w:lang w:val="en-AU" w:eastAsia="en-AU"/>
            </w:rPr>
          </w:pPr>
          <w:hyperlink w:anchor="_Toc49462465" w:history="1">
            <w:r w:rsidR="00C14ADD" w:rsidRPr="00C14ADD">
              <w:rPr>
                <w:rStyle w:val="Hyperlink"/>
                <w:b w:val="0"/>
                <w:noProof/>
                <w:u w:val="none"/>
              </w:rPr>
              <w:t>E</w:t>
            </w:r>
            <w:r w:rsidR="00E00C6C" w:rsidRPr="00C14ADD">
              <w:rPr>
                <w:rStyle w:val="Hyperlink"/>
                <w:b w:val="0"/>
                <w:noProof/>
                <w:u w:val="none"/>
              </w:rPr>
              <w:t>vidence piece 6:</w:t>
            </w:r>
          </w:hyperlink>
          <w:r w:rsidR="00B21C5C" w:rsidRPr="00C14ADD">
            <w:rPr>
              <w:rStyle w:val="Hyperlink"/>
              <w:b w:val="0"/>
              <w:noProof/>
              <w:u w:val="none"/>
            </w:rPr>
            <w:t xml:space="preserve"> </w:t>
          </w:r>
          <w:hyperlink w:anchor="_Toc49462466" w:history="1">
            <w:r w:rsidR="00E00C6C" w:rsidRPr="00C14ADD">
              <w:rPr>
                <w:rStyle w:val="Hyperlink"/>
                <w:b w:val="0"/>
                <w:noProof/>
                <w:u w:val="none"/>
              </w:rPr>
              <w:t xml:space="preserve">Effective transition from school to work and post-secondary </w:t>
            </w:r>
            <w:r w:rsidR="00753A3D">
              <w:rPr>
                <w:rStyle w:val="Hyperlink"/>
                <w:b w:val="0"/>
                <w:noProof/>
                <w:u w:val="none"/>
              </w:rPr>
              <w:br/>
            </w:r>
            <w:r w:rsidR="00E00C6C" w:rsidRPr="00C14ADD">
              <w:rPr>
                <w:rStyle w:val="Hyperlink"/>
                <w:b w:val="0"/>
                <w:noProof/>
                <w:u w:val="none"/>
              </w:rPr>
              <w:t>education for people with intellectual disability</w:t>
            </w:r>
            <w:r w:rsidR="0076143A">
              <w:rPr>
                <w:noProof/>
                <w:webHidden/>
              </w:rPr>
              <w:t xml:space="preserve"> </w:t>
            </w:r>
            <w:r w:rsidR="00753A3D">
              <w:rPr>
                <w:noProof/>
                <w:webHidden/>
              </w:rPr>
              <w:t xml:space="preserve">                                                             </w:t>
            </w:r>
            <w:r w:rsidR="00692EEE">
              <w:rPr>
                <w:noProof/>
                <w:webHidden/>
              </w:rPr>
              <w:t xml:space="preserve">   </w:t>
            </w:r>
            <w:r w:rsidR="00E00C6C" w:rsidRPr="00C14ADD">
              <w:rPr>
                <w:noProof/>
                <w:webHidden/>
              </w:rPr>
              <w:fldChar w:fldCharType="begin"/>
            </w:r>
            <w:r w:rsidR="00E00C6C" w:rsidRPr="00C14ADD">
              <w:rPr>
                <w:noProof/>
                <w:webHidden/>
              </w:rPr>
              <w:instrText xml:space="preserve"> PAGEREF _Toc49462466 \h </w:instrText>
            </w:r>
            <w:r w:rsidR="00E00C6C" w:rsidRPr="00C14ADD">
              <w:rPr>
                <w:noProof/>
                <w:webHidden/>
              </w:rPr>
            </w:r>
            <w:r w:rsidR="00E00C6C" w:rsidRPr="00C14ADD">
              <w:rPr>
                <w:noProof/>
                <w:webHidden/>
              </w:rPr>
              <w:fldChar w:fldCharType="separate"/>
            </w:r>
            <w:r w:rsidR="00BF7150">
              <w:rPr>
                <w:noProof/>
                <w:webHidden/>
              </w:rPr>
              <w:t>22</w:t>
            </w:r>
            <w:r w:rsidR="00E00C6C" w:rsidRPr="00C14ADD">
              <w:rPr>
                <w:noProof/>
                <w:webHidden/>
              </w:rPr>
              <w:fldChar w:fldCharType="end"/>
            </w:r>
          </w:hyperlink>
        </w:p>
        <w:p w14:paraId="70540950" w14:textId="4B532B54" w:rsidR="00E00C6C" w:rsidRPr="00C14ADD" w:rsidRDefault="00125D38" w:rsidP="00F90B8A">
          <w:pPr>
            <w:pStyle w:val="TOC1"/>
            <w:rPr>
              <w:rFonts w:eastAsiaTheme="minorEastAsia" w:cstheme="minorBidi"/>
              <w:noProof/>
              <w:sz w:val="22"/>
              <w:szCs w:val="22"/>
              <w:lang w:val="en-AU" w:eastAsia="en-AU"/>
            </w:rPr>
          </w:pPr>
          <w:hyperlink w:anchor="_Toc49462467" w:history="1">
            <w:r w:rsidR="00C14ADD" w:rsidRPr="00C14ADD">
              <w:rPr>
                <w:rStyle w:val="Hyperlink"/>
                <w:b w:val="0"/>
                <w:noProof/>
                <w:u w:val="none"/>
              </w:rPr>
              <w:t>E</w:t>
            </w:r>
            <w:r w:rsidR="00E00C6C" w:rsidRPr="00C14ADD">
              <w:rPr>
                <w:rStyle w:val="Hyperlink"/>
                <w:b w:val="0"/>
                <w:noProof/>
                <w:u w:val="none"/>
              </w:rPr>
              <w:t>vidence piece 7:</w:t>
            </w:r>
          </w:hyperlink>
          <w:r w:rsidR="00B21C5C" w:rsidRPr="00C14ADD">
            <w:rPr>
              <w:rStyle w:val="Hyperlink"/>
              <w:b w:val="0"/>
              <w:noProof/>
              <w:u w:val="none"/>
            </w:rPr>
            <w:t xml:space="preserve"> </w:t>
          </w:r>
          <w:hyperlink w:anchor="_Toc49462468" w:history="1">
            <w:r w:rsidR="00E00C6C" w:rsidRPr="00C14ADD">
              <w:rPr>
                <w:rStyle w:val="Hyperlink"/>
                <w:b w:val="0"/>
                <w:noProof/>
                <w:u w:val="none"/>
              </w:rPr>
              <w:t xml:space="preserve">The role of vocational education and training in employment </w:t>
            </w:r>
            <w:r w:rsidR="00753A3D">
              <w:rPr>
                <w:rStyle w:val="Hyperlink"/>
                <w:b w:val="0"/>
                <w:noProof/>
                <w:u w:val="none"/>
              </w:rPr>
              <w:br/>
            </w:r>
            <w:r w:rsidR="00E00C6C" w:rsidRPr="00C14ADD">
              <w:rPr>
                <w:rStyle w:val="Hyperlink"/>
                <w:b w:val="0"/>
                <w:noProof/>
                <w:u w:val="none"/>
              </w:rPr>
              <w:t>and other outcomes for people with intellectual disability</w:t>
            </w:r>
            <w:r w:rsidR="0076143A">
              <w:rPr>
                <w:noProof/>
                <w:webHidden/>
              </w:rPr>
              <w:t xml:space="preserve"> </w:t>
            </w:r>
            <w:r w:rsidR="00753A3D">
              <w:rPr>
                <w:noProof/>
                <w:webHidden/>
              </w:rPr>
              <w:t xml:space="preserve">                                           </w:t>
            </w:r>
            <w:r w:rsidR="00692EEE">
              <w:rPr>
                <w:noProof/>
                <w:webHidden/>
              </w:rPr>
              <w:t xml:space="preserve">   </w:t>
            </w:r>
            <w:r w:rsidR="00E00C6C" w:rsidRPr="00C14ADD">
              <w:rPr>
                <w:noProof/>
                <w:webHidden/>
              </w:rPr>
              <w:fldChar w:fldCharType="begin"/>
            </w:r>
            <w:r w:rsidR="00E00C6C" w:rsidRPr="00C14ADD">
              <w:rPr>
                <w:noProof/>
                <w:webHidden/>
              </w:rPr>
              <w:instrText xml:space="preserve"> PAGEREF _Toc49462468 \h </w:instrText>
            </w:r>
            <w:r w:rsidR="00E00C6C" w:rsidRPr="00C14ADD">
              <w:rPr>
                <w:noProof/>
                <w:webHidden/>
              </w:rPr>
            </w:r>
            <w:r w:rsidR="00E00C6C" w:rsidRPr="00C14ADD">
              <w:rPr>
                <w:noProof/>
                <w:webHidden/>
              </w:rPr>
              <w:fldChar w:fldCharType="separate"/>
            </w:r>
            <w:r w:rsidR="00BF7150">
              <w:rPr>
                <w:noProof/>
                <w:webHidden/>
              </w:rPr>
              <w:t>28</w:t>
            </w:r>
            <w:r w:rsidR="00E00C6C" w:rsidRPr="00C14ADD">
              <w:rPr>
                <w:noProof/>
                <w:webHidden/>
              </w:rPr>
              <w:fldChar w:fldCharType="end"/>
            </w:r>
          </w:hyperlink>
        </w:p>
        <w:p w14:paraId="17F50EF2" w14:textId="5CC1482C" w:rsidR="00E00C6C" w:rsidRPr="00C14ADD" w:rsidRDefault="00125D38" w:rsidP="00F90B8A">
          <w:pPr>
            <w:pStyle w:val="TOC1"/>
            <w:rPr>
              <w:rFonts w:eastAsiaTheme="minorEastAsia" w:cstheme="minorBidi"/>
              <w:noProof/>
              <w:sz w:val="22"/>
              <w:szCs w:val="22"/>
              <w:lang w:val="en-AU" w:eastAsia="en-AU"/>
            </w:rPr>
          </w:pPr>
          <w:hyperlink w:anchor="_Toc49462469" w:history="1">
            <w:r w:rsidR="00C14ADD" w:rsidRPr="00C14ADD">
              <w:rPr>
                <w:rStyle w:val="Hyperlink"/>
                <w:b w:val="0"/>
                <w:noProof/>
                <w:u w:val="none"/>
              </w:rPr>
              <w:t>E</w:t>
            </w:r>
            <w:r w:rsidR="00E00C6C" w:rsidRPr="00C14ADD">
              <w:rPr>
                <w:rStyle w:val="Hyperlink"/>
                <w:b w:val="0"/>
                <w:noProof/>
                <w:u w:val="none"/>
              </w:rPr>
              <w:t>vidence piece 8:</w:t>
            </w:r>
          </w:hyperlink>
          <w:r w:rsidR="00B21C5C" w:rsidRPr="00C14ADD">
            <w:rPr>
              <w:rStyle w:val="Hyperlink"/>
              <w:b w:val="0"/>
              <w:noProof/>
              <w:u w:val="none"/>
            </w:rPr>
            <w:t xml:space="preserve"> </w:t>
          </w:r>
          <w:hyperlink w:anchor="_Toc49462470" w:history="1">
            <w:r w:rsidR="00E00C6C" w:rsidRPr="00C14ADD">
              <w:rPr>
                <w:rStyle w:val="Hyperlink"/>
                <w:b w:val="0"/>
                <w:noProof/>
                <w:u w:val="none"/>
              </w:rPr>
              <w:t xml:space="preserve">The role of University education in employment and other </w:t>
            </w:r>
            <w:r w:rsidR="00753A3D">
              <w:rPr>
                <w:rStyle w:val="Hyperlink"/>
                <w:b w:val="0"/>
                <w:noProof/>
                <w:u w:val="none"/>
              </w:rPr>
              <w:br/>
            </w:r>
            <w:r w:rsidR="00E00C6C" w:rsidRPr="00C14ADD">
              <w:rPr>
                <w:rStyle w:val="Hyperlink"/>
                <w:b w:val="0"/>
                <w:noProof/>
                <w:u w:val="none"/>
              </w:rPr>
              <w:t>outcomes for people with intellectual disability</w:t>
            </w:r>
            <w:r w:rsidR="0076143A">
              <w:rPr>
                <w:noProof/>
                <w:webHidden/>
              </w:rPr>
              <w:t xml:space="preserve"> </w:t>
            </w:r>
            <w:r w:rsidR="00753A3D">
              <w:rPr>
                <w:noProof/>
                <w:webHidden/>
              </w:rPr>
              <w:t xml:space="preserve">                                                           </w:t>
            </w:r>
            <w:r w:rsidR="00692EEE">
              <w:rPr>
                <w:noProof/>
                <w:webHidden/>
              </w:rPr>
              <w:t xml:space="preserve">   </w:t>
            </w:r>
            <w:r w:rsidR="00753A3D">
              <w:rPr>
                <w:noProof/>
                <w:webHidden/>
              </w:rPr>
              <w:t xml:space="preserve">  </w:t>
            </w:r>
            <w:r w:rsidR="00E00C6C" w:rsidRPr="00C14ADD">
              <w:rPr>
                <w:noProof/>
                <w:webHidden/>
              </w:rPr>
              <w:fldChar w:fldCharType="begin"/>
            </w:r>
            <w:r w:rsidR="00E00C6C" w:rsidRPr="00C14ADD">
              <w:rPr>
                <w:noProof/>
                <w:webHidden/>
              </w:rPr>
              <w:instrText xml:space="preserve"> PAGEREF _Toc49462470 \h </w:instrText>
            </w:r>
            <w:r w:rsidR="00E00C6C" w:rsidRPr="00C14ADD">
              <w:rPr>
                <w:noProof/>
                <w:webHidden/>
              </w:rPr>
            </w:r>
            <w:r w:rsidR="00E00C6C" w:rsidRPr="00C14ADD">
              <w:rPr>
                <w:noProof/>
                <w:webHidden/>
              </w:rPr>
              <w:fldChar w:fldCharType="separate"/>
            </w:r>
            <w:r w:rsidR="00BF7150">
              <w:rPr>
                <w:noProof/>
                <w:webHidden/>
              </w:rPr>
              <w:t>31</w:t>
            </w:r>
            <w:r w:rsidR="00E00C6C" w:rsidRPr="00C14ADD">
              <w:rPr>
                <w:noProof/>
                <w:webHidden/>
              </w:rPr>
              <w:fldChar w:fldCharType="end"/>
            </w:r>
          </w:hyperlink>
        </w:p>
        <w:p w14:paraId="6D3F27A5" w14:textId="166411DB" w:rsidR="00E00C6C" w:rsidRPr="00C14ADD" w:rsidRDefault="00125D38" w:rsidP="00F90B8A">
          <w:pPr>
            <w:pStyle w:val="TOC1"/>
            <w:rPr>
              <w:rFonts w:eastAsiaTheme="minorEastAsia" w:cstheme="minorBidi"/>
              <w:noProof/>
              <w:sz w:val="22"/>
              <w:szCs w:val="22"/>
              <w:lang w:val="en-AU" w:eastAsia="en-AU"/>
            </w:rPr>
          </w:pPr>
          <w:hyperlink w:anchor="_Toc49462471" w:history="1">
            <w:r w:rsidR="00C14ADD" w:rsidRPr="00C14ADD">
              <w:rPr>
                <w:rStyle w:val="Hyperlink"/>
                <w:b w:val="0"/>
                <w:noProof/>
                <w:u w:val="none"/>
              </w:rPr>
              <w:t>E</w:t>
            </w:r>
            <w:r w:rsidR="00E00C6C" w:rsidRPr="00C14ADD">
              <w:rPr>
                <w:rStyle w:val="Hyperlink"/>
                <w:b w:val="0"/>
                <w:noProof/>
                <w:u w:val="none"/>
              </w:rPr>
              <w:t>vidence piece 9:</w:t>
            </w:r>
          </w:hyperlink>
          <w:r w:rsidR="00B21C5C" w:rsidRPr="00C14ADD">
            <w:rPr>
              <w:rStyle w:val="Hyperlink"/>
              <w:b w:val="0"/>
              <w:noProof/>
              <w:u w:val="none"/>
            </w:rPr>
            <w:t xml:space="preserve"> </w:t>
          </w:r>
          <w:hyperlink w:anchor="_Toc49462472" w:history="1">
            <w:r w:rsidR="00E00C6C" w:rsidRPr="00C14ADD">
              <w:rPr>
                <w:rStyle w:val="Hyperlink"/>
                <w:b w:val="0"/>
                <w:noProof/>
                <w:u w:val="none"/>
              </w:rPr>
              <w:t xml:space="preserve">The value of work-based learning for people with intellectual </w:t>
            </w:r>
            <w:r w:rsidR="00753A3D">
              <w:rPr>
                <w:rStyle w:val="Hyperlink"/>
                <w:b w:val="0"/>
                <w:noProof/>
                <w:u w:val="none"/>
              </w:rPr>
              <w:br/>
            </w:r>
            <w:r w:rsidR="00E00C6C" w:rsidRPr="00C14ADD">
              <w:rPr>
                <w:rStyle w:val="Hyperlink"/>
                <w:b w:val="0"/>
                <w:noProof/>
                <w:u w:val="none"/>
              </w:rPr>
              <w:t>disability</w:t>
            </w:r>
            <w:r w:rsidR="0076143A">
              <w:rPr>
                <w:noProof/>
                <w:webHidden/>
              </w:rPr>
              <w:t xml:space="preserve"> </w:t>
            </w:r>
            <w:r w:rsidR="00753A3D">
              <w:rPr>
                <w:noProof/>
                <w:webHidden/>
              </w:rPr>
              <w:t xml:space="preserve">                                                                                                                                </w:t>
            </w:r>
            <w:r w:rsidR="00692EEE">
              <w:rPr>
                <w:noProof/>
                <w:webHidden/>
              </w:rPr>
              <w:t xml:space="preserve">    </w:t>
            </w:r>
            <w:r w:rsidR="00E00C6C" w:rsidRPr="00C14ADD">
              <w:rPr>
                <w:noProof/>
                <w:webHidden/>
              </w:rPr>
              <w:fldChar w:fldCharType="begin"/>
            </w:r>
            <w:r w:rsidR="00E00C6C" w:rsidRPr="00C14ADD">
              <w:rPr>
                <w:noProof/>
                <w:webHidden/>
              </w:rPr>
              <w:instrText xml:space="preserve"> PAGEREF _Toc49462472 \h </w:instrText>
            </w:r>
            <w:r w:rsidR="00E00C6C" w:rsidRPr="00C14ADD">
              <w:rPr>
                <w:noProof/>
                <w:webHidden/>
              </w:rPr>
            </w:r>
            <w:r w:rsidR="00E00C6C" w:rsidRPr="00C14ADD">
              <w:rPr>
                <w:noProof/>
                <w:webHidden/>
              </w:rPr>
              <w:fldChar w:fldCharType="separate"/>
            </w:r>
            <w:r w:rsidR="00BF7150">
              <w:rPr>
                <w:noProof/>
                <w:webHidden/>
              </w:rPr>
              <w:t>36</w:t>
            </w:r>
            <w:r w:rsidR="00E00C6C" w:rsidRPr="00C14ADD">
              <w:rPr>
                <w:noProof/>
                <w:webHidden/>
              </w:rPr>
              <w:fldChar w:fldCharType="end"/>
            </w:r>
          </w:hyperlink>
        </w:p>
        <w:p w14:paraId="0E090D8B" w14:textId="61CCC56C" w:rsidR="00E00C6C" w:rsidRPr="00C14ADD" w:rsidRDefault="00125D38" w:rsidP="00F90B8A">
          <w:pPr>
            <w:pStyle w:val="TOC1"/>
            <w:rPr>
              <w:rFonts w:eastAsiaTheme="minorEastAsia" w:cstheme="minorBidi"/>
              <w:noProof/>
              <w:sz w:val="22"/>
              <w:szCs w:val="22"/>
              <w:lang w:val="en-AU" w:eastAsia="en-AU"/>
            </w:rPr>
          </w:pPr>
          <w:hyperlink w:anchor="_Toc49462473" w:history="1">
            <w:r w:rsidR="00C14ADD" w:rsidRPr="00C14ADD">
              <w:rPr>
                <w:rStyle w:val="Hyperlink"/>
                <w:b w:val="0"/>
                <w:noProof/>
                <w:u w:val="none"/>
              </w:rPr>
              <w:t>E</w:t>
            </w:r>
            <w:r w:rsidR="00E00C6C" w:rsidRPr="00C14ADD">
              <w:rPr>
                <w:rStyle w:val="Hyperlink"/>
                <w:b w:val="0"/>
                <w:noProof/>
                <w:u w:val="none"/>
              </w:rPr>
              <w:t>vidence piece 10:</w:t>
            </w:r>
          </w:hyperlink>
          <w:r w:rsidR="00B21C5C" w:rsidRPr="00C14ADD">
            <w:rPr>
              <w:rStyle w:val="Hyperlink"/>
              <w:b w:val="0"/>
              <w:noProof/>
              <w:u w:val="none"/>
            </w:rPr>
            <w:t xml:space="preserve"> </w:t>
          </w:r>
          <w:hyperlink w:anchor="_Toc49462474" w:history="1">
            <w:r w:rsidR="00E00C6C" w:rsidRPr="00C14ADD">
              <w:rPr>
                <w:rStyle w:val="Hyperlink"/>
                <w:b w:val="0"/>
                <w:noProof/>
                <w:u w:val="none"/>
              </w:rPr>
              <w:t xml:space="preserve">Work experience as a predictor of employment for people </w:t>
            </w:r>
            <w:r w:rsidR="00753A3D">
              <w:rPr>
                <w:rStyle w:val="Hyperlink"/>
                <w:b w:val="0"/>
                <w:noProof/>
                <w:u w:val="none"/>
              </w:rPr>
              <w:br/>
            </w:r>
            <w:r w:rsidR="00E00C6C" w:rsidRPr="00C14ADD">
              <w:rPr>
                <w:rStyle w:val="Hyperlink"/>
                <w:b w:val="0"/>
                <w:noProof/>
                <w:u w:val="none"/>
              </w:rPr>
              <w:t>with intellectual disability</w:t>
            </w:r>
            <w:r w:rsidR="0076143A">
              <w:rPr>
                <w:noProof/>
                <w:webHidden/>
              </w:rPr>
              <w:t xml:space="preserve"> </w:t>
            </w:r>
            <w:r w:rsidR="00753A3D">
              <w:rPr>
                <w:noProof/>
                <w:webHidden/>
              </w:rPr>
              <w:t xml:space="preserve">                                                                                                  </w:t>
            </w:r>
            <w:r w:rsidR="00692EEE">
              <w:rPr>
                <w:noProof/>
                <w:webHidden/>
              </w:rPr>
              <w:t xml:space="preserve">    </w:t>
            </w:r>
            <w:r w:rsidR="00E00C6C" w:rsidRPr="00C14ADD">
              <w:rPr>
                <w:noProof/>
                <w:webHidden/>
              </w:rPr>
              <w:fldChar w:fldCharType="begin"/>
            </w:r>
            <w:r w:rsidR="00E00C6C" w:rsidRPr="00C14ADD">
              <w:rPr>
                <w:noProof/>
                <w:webHidden/>
              </w:rPr>
              <w:instrText xml:space="preserve"> PAGEREF _Toc49462474 \h </w:instrText>
            </w:r>
            <w:r w:rsidR="00E00C6C" w:rsidRPr="00C14ADD">
              <w:rPr>
                <w:noProof/>
                <w:webHidden/>
              </w:rPr>
            </w:r>
            <w:r w:rsidR="00E00C6C" w:rsidRPr="00C14ADD">
              <w:rPr>
                <w:noProof/>
                <w:webHidden/>
              </w:rPr>
              <w:fldChar w:fldCharType="separate"/>
            </w:r>
            <w:r w:rsidR="00BF7150">
              <w:rPr>
                <w:noProof/>
                <w:webHidden/>
              </w:rPr>
              <w:t>39</w:t>
            </w:r>
            <w:r w:rsidR="00E00C6C" w:rsidRPr="00C14ADD">
              <w:rPr>
                <w:noProof/>
                <w:webHidden/>
              </w:rPr>
              <w:fldChar w:fldCharType="end"/>
            </w:r>
          </w:hyperlink>
        </w:p>
        <w:p w14:paraId="57A57C0D" w14:textId="36B9561C" w:rsidR="00E00C6C" w:rsidRPr="00C14ADD" w:rsidRDefault="00125D38" w:rsidP="00F90B8A">
          <w:pPr>
            <w:pStyle w:val="TOC1"/>
            <w:rPr>
              <w:rFonts w:eastAsiaTheme="minorEastAsia" w:cstheme="minorBidi"/>
              <w:noProof/>
              <w:sz w:val="22"/>
              <w:szCs w:val="22"/>
              <w:lang w:val="en-AU" w:eastAsia="en-AU"/>
            </w:rPr>
          </w:pPr>
          <w:hyperlink w:anchor="_Toc49462475" w:history="1">
            <w:r w:rsidR="00C14ADD" w:rsidRPr="00C14ADD">
              <w:rPr>
                <w:rStyle w:val="Hyperlink"/>
                <w:b w:val="0"/>
                <w:noProof/>
                <w:u w:val="none"/>
              </w:rPr>
              <w:t>E</w:t>
            </w:r>
            <w:r w:rsidR="00E00C6C" w:rsidRPr="00C14ADD">
              <w:rPr>
                <w:rStyle w:val="Hyperlink"/>
                <w:b w:val="0"/>
                <w:noProof/>
                <w:u w:val="none"/>
              </w:rPr>
              <w:t>vidence piece 11:</w:t>
            </w:r>
          </w:hyperlink>
          <w:r w:rsidR="00B21C5C" w:rsidRPr="00C14ADD">
            <w:rPr>
              <w:rStyle w:val="Hyperlink"/>
              <w:b w:val="0"/>
              <w:noProof/>
              <w:u w:val="none"/>
            </w:rPr>
            <w:t xml:space="preserve"> </w:t>
          </w:r>
          <w:hyperlink w:anchor="_Toc49462476" w:history="1">
            <w:r w:rsidR="00E00C6C" w:rsidRPr="00C14ADD">
              <w:rPr>
                <w:rStyle w:val="Hyperlink"/>
                <w:b w:val="0"/>
                <w:noProof/>
                <w:u w:val="none"/>
              </w:rPr>
              <w:t xml:space="preserve">Individual placement and support (IPS) for people with </w:t>
            </w:r>
            <w:r w:rsidR="00753A3D">
              <w:rPr>
                <w:rStyle w:val="Hyperlink"/>
                <w:b w:val="0"/>
                <w:noProof/>
                <w:u w:val="none"/>
              </w:rPr>
              <w:br/>
            </w:r>
            <w:r w:rsidR="00E00C6C" w:rsidRPr="00C14ADD">
              <w:rPr>
                <w:rStyle w:val="Hyperlink"/>
                <w:b w:val="0"/>
                <w:noProof/>
                <w:u w:val="none"/>
              </w:rPr>
              <w:t>intellectual disability</w:t>
            </w:r>
            <w:r w:rsidR="0076143A">
              <w:rPr>
                <w:noProof/>
                <w:webHidden/>
              </w:rPr>
              <w:t xml:space="preserve"> </w:t>
            </w:r>
            <w:r w:rsidR="00753A3D">
              <w:rPr>
                <w:noProof/>
                <w:webHidden/>
              </w:rPr>
              <w:t xml:space="preserve">                                                                                                          </w:t>
            </w:r>
            <w:r w:rsidR="00692EEE">
              <w:rPr>
                <w:noProof/>
                <w:webHidden/>
              </w:rPr>
              <w:t xml:space="preserve">    </w:t>
            </w:r>
            <w:r w:rsidR="00753A3D">
              <w:rPr>
                <w:noProof/>
                <w:webHidden/>
              </w:rPr>
              <w:t xml:space="preserve"> </w:t>
            </w:r>
            <w:r w:rsidR="00E00C6C" w:rsidRPr="00C14ADD">
              <w:rPr>
                <w:noProof/>
                <w:webHidden/>
              </w:rPr>
              <w:fldChar w:fldCharType="begin"/>
            </w:r>
            <w:r w:rsidR="00E00C6C" w:rsidRPr="00C14ADD">
              <w:rPr>
                <w:noProof/>
                <w:webHidden/>
              </w:rPr>
              <w:instrText xml:space="preserve"> PAGEREF _Toc49462476 \h </w:instrText>
            </w:r>
            <w:r w:rsidR="00E00C6C" w:rsidRPr="00C14ADD">
              <w:rPr>
                <w:noProof/>
                <w:webHidden/>
              </w:rPr>
            </w:r>
            <w:r w:rsidR="00E00C6C" w:rsidRPr="00C14ADD">
              <w:rPr>
                <w:noProof/>
                <w:webHidden/>
              </w:rPr>
              <w:fldChar w:fldCharType="separate"/>
            </w:r>
            <w:r w:rsidR="00BF7150">
              <w:rPr>
                <w:noProof/>
                <w:webHidden/>
              </w:rPr>
              <w:t>42</w:t>
            </w:r>
            <w:r w:rsidR="00E00C6C" w:rsidRPr="00C14ADD">
              <w:rPr>
                <w:noProof/>
                <w:webHidden/>
              </w:rPr>
              <w:fldChar w:fldCharType="end"/>
            </w:r>
          </w:hyperlink>
        </w:p>
        <w:p w14:paraId="22EBC1FF" w14:textId="6BD5C01B" w:rsidR="00E00C6C" w:rsidRPr="00C14ADD" w:rsidRDefault="00125D38" w:rsidP="00F90B8A">
          <w:pPr>
            <w:pStyle w:val="TOC1"/>
            <w:rPr>
              <w:rFonts w:eastAsiaTheme="minorEastAsia" w:cstheme="minorBidi"/>
              <w:noProof/>
              <w:sz w:val="22"/>
              <w:szCs w:val="22"/>
              <w:lang w:val="en-AU" w:eastAsia="en-AU"/>
            </w:rPr>
          </w:pPr>
          <w:hyperlink w:anchor="_Toc49462477" w:history="1">
            <w:r w:rsidR="00C14ADD" w:rsidRPr="00C14ADD">
              <w:rPr>
                <w:rStyle w:val="Hyperlink"/>
                <w:b w:val="0"/>
                <w:noProof/>
                <w:u w:val="none"/>
              </w:rPr>
              <w:t>E</w:t>
            </w:r>
            <w:r w:rsidR="00E00C6C" w:rsidRPr="00C14ADD">
              <w:rPr>
                <w:rStyle w:val="Hyperlink"/>
                <w:b w:val="0"/>
                <w:noProof/>
                <w:u w:val="none"/>
              </w:rPr>
              <w:t>vidence piece 12:</w:t>
            </w:r>
          </w:hyperlink>
          <w:r w:rsidR="00B21C5C" w:rsidRPr="00C14ADD">
            <w:rPr>
              <w:rStyle w:val="Hyperlink"/>
              <w:b w:val="0"/>
              <w:noProof/>
              <w:u w:val="none"/>
            </w:rPr>
            <w:t xml:space="preserve"> </w:t>
          </w:r>
          <w:hyperlink w:anchor="_Toc49462478" w:history="1">
            <w:r w:rsidR="00E00C6C" w:rsidRPr="00C14ADD">
              <w:rPr>
                <w:rStyle w:val="Hyperlink"/>
                <w:b w:val="0"/>
                <w:noProof/>
                <w:u w:val="none"/>
              </w:rPr>
              <w:t>Customised employment for people with intellectual disability</w:t>
            </w:r>
            <w:r w:rsidR="00692EEE">
              <w:rPr>
                <w:rStyle w:val="Hyperlink"/>
                <w:b w:val="0"/>
                <w:noProof/>
                <w:u w:val="none"/>
              </w:rPr>
              <w:t xml:space="preserve">    </w:t>
            </w:r>
            <w:r w:rsidR="0076143A">
              <w:rPr>
                <w:noProof/>
                <w:webHidden/>
              </w:rPr>
              <w:t xml:space="preserve"> </w:t>
            </w:r>
            <w:r w:rsidR="00E00C6C" w:rsidRPr="00C14ADD">
              <w:rPr>
                <w:noProof/>
                <w:webHidden/>
              </w:rPr>
              <w:fldChar w:fldCharType="begin"/>
            </w:r>
            <w:r w:rsidR="00E00C6C" w:rsidRPr="00C14ADD">
              <w:rPr>
                <w:noProof/>
                <w:webHidden/>
              </w:rPr>
              <w:instrText xml:space="preserve"> PAGEREF _Toc49462478 \h </w:instrText>
            </w:r>
            <w:r w:rsidR="00E00C6C" w:rsidRPr="00C14ADD">
              <w:rPr>
                <w:noProof/>
                <w:webHidden/>
              </w:rPr>
            </w:r>
            <w:r w:rsidR="00E00C6C" w:rsidRPr="00C14ADD">
              <w:rPr>
                <w:noProof/>
                <w:webHidden/>
              </w:rPr>
              <w:fldChar w:fldCharType="separate"/>
            </w:r>
            <w:r w:rsidR="00BF7150">
              <w:rPr>
                <w:noProof/>
                <w:webHidden/>
              </w:rPr>
              <w:t>45</w:t>
            </w:r>
            <w:r w:rsidR="00E00C6C" w:rsidRPr="00C14ADD">
              <w:rPr>
                <w:noProof/>
                <w:webHidden/>
              </w:rPr>
              <w:fldChar w:fldCharType="end"/>
            </w:r>
          </w:hyperlink>
        </w:p>
        <w:p w14:paraId="04B85722" w14:textId="31DF5DBC" w:rsidR="00E00C6C" w:rsidRPr="00C14ADD" w:rsidRDefault="00125D38" w:rsidP="00F90B8A">
          <w:pPr>
            <w:pStyle w:val="TOC1"/>
            <w:rPr>
              <w:rFonts w:eastAsiaTheme="minorEastAsia" w:cstheme="minorBidi"/>
              <w:noProof/>
              <w:sz w:val="22"/>
              <w:szCs w:val="22"/>
              <w:lang w:val="en-AU" w:eastAsia="en-AU"/>
            </w:rPr>
          </w:pPr>
          <w:hyperlink w:anchor="_Toc49462479" w:history="1">
            <w:r w:rsidR="00C14ADD" w:rsidRPr="00C14ADD">
              <w:rPr>
                <w:rStyle w:val="Hyperlink"/>
                <w:b w:val="0"/>
                <w:noProof/>
                <w:u w:val="none"/>
              </w:rPr>
              <w:t>E</w:t>
            </w:r>
            <w:r w:rsidR="00E00C6C" w:rsidRPr="00C14ADD">
              <w:rPr>
                <w:rStyle w:val="Hyperlink"/>
                <w:b w:val="0"/>
                <w:noProof/>
                <w:u w:val="none"/>
              </w:rPr>
              <w:t>vidence piece 13:</w:t>
            </w:r>
          </w:hyperlink>
          <w:r w:rsidR="00B21C5C" w:rsidRPr="00C14ADD">
            <w:rPr>
              <w:rStyle w:val="Hyperlink"/>
              <w:b w:val="0"/>
              <w:noProof/>
              <w:u w:val="none"/>
            </w:rPr>
            <w:t xml:space="preserve"> </w:t>
          </w:r>
          <w:hyperlink w:anchor="_Toc49462480" w:history="1">
            <w:r w:rsidR="00E00C6C" w:rsidRPr="00C14ADD">
              <w:rPr>
                <w:rStyle w:val="Hyperlink"/>
                <w:b w:val="0"/>
                <w:noProof/>
                <w:u w:val="none"/>
              </w:rPr>
              <w:t xml:space="preserve">Work-focused circles of support for people with intellectual </w:t>
            </w:r>
            <w:r w:rsidR="00753A3D">
              <w:rPr>
                <w:rStyle w:val="Hyperlink"/>
                <w:b w:val="0"/>
                <w:noProof/>
                <w:u w:val="none"/>
              </w:rPr>
              <w:br/>
            </w:r>
            <w:r w:rsidR="00E00C6C" w:rsidRPr="00C14ADD">
              <w:rPr>
                <w:rStyle w:val="Hyperlink"/>
                <w:b w:val="0"/>
                <w:noProof/>
                <w:u w:val="none"/>
              </w:rPr>
              <w:t>disability</w:t>
            </w:r>
            <w:r w:rsidR="0076143A">
              <w:rPr>
                <w:noProof/>
                <w:webHidden/>
              </w:rPr>
              <w:t xml:space="preserve"> </w:t>
            </w:r>
            <w:r w:rsidR="00753A3D">
              <w:rPr>
                <w:noProof/>
                <w:webHidden/>
              </w:rPr>
              <w:t xml:space="preserve">                                                                                                                               </w:t>
            </w:r>
            <w:r w:rsidR="00692EEE">
              <w:rPr>
                <w:noProof/>
                <w:webHidden/>
              </w:rPr>
              <w:t xml:space="preserve">    </w:t>
            </w:r>
            <w:r w:rsidR="00753A3D">
              <w:rPr>
                <w:noProof/>
                <w:webHidden/>
              </w:rPr>
              <w:t xml:space="preserve"> </w:t>
            </w:r>
            <w:r w:rsidR="00E00C6C" w:rsidRPr="00C14ADD">
              <w:rPr>
                <w:noProof/>
                <w:webHidden/>
              </w:rPr>
              <w:fldChar w:fldCharType="begin"/>
            </w:r>
            <w:r w:rsidR="00E00C6C" w:rsidRPr="00C14ADD">
              <w:rPr>
                <w:noProof/>
                <w:webHidden/>
              </w:rPr>
              <w:instrText xml:space="preserve"> PAGEREF _Toc49462480 \h </w:instrText>
            </w:r>
            <w:r w:rsidR="00E00C6C" w:rsidRPr="00C14ADD">
              <w:rPr>
                <w:noProof/>
                <w:webHidden/>
              </w:rPr>
            </w:r>
            <w:r w:rsidR="00E00C6C" w:rsidRPr="00C14ADD">
              <w:rPr>
                <w:noProof/>
                <w:webHidden/>
              </w:rPr>
              <w:fldChar w:fldCharType="separate"/>
            </w:r>
            <w:r w:rsidR="00BF7150">
              <w:rPr>
                <w:noProof/>
                <w:webHidden/>
              </w:rPr>
              <w:t>49</w:t>
            </w:r>
            <w:r w:rsidR="00E00C6C" w:rsidRPr="00C14ADD">
              <w:rPr>
                <w:noProof/>
                <w:webHidden/>
              </w:rPr>
              <w:fldChar w:fldCharType="end"/>
            </w:r>
          </w:hyperlink>
        </w:p>
        <w:p w14:paraId="4C2114A7" w14:textId="008D956C" w:rsidR="00E00C6C" w:rsidRPr="00C14ADD" w:rsidRDefault="00125D38" w:rsidP="00F90B8A">
          <w:pPr>
            <w:pStyle w:val="TOC1"/>
            <w:rPr>
              <w:rFonts w:eastAsiaTheme="minorEastAsia" w:cstheme="minorBidi"/>
              <w:noProof/>
              <w:sz w:val="22"/>
              <w:szCs w:val="22"/>
              <w:lang w:val="en-AU" w:eastAsia="en-AU"/>
            </w:rPr>
          </w:pPr>
          <w:hyperlink w:anchor="_Toc49462481" w:history="1">
            <w:r w:rsidR="00C14ADD" w:rsidRPr="00C14ADD">
              <w:rPr>
                <w:rStyle w:val="Hyperlink"/>
                <w:b w:val="0"/>
                <w:noProof/>
                <w:u w:val="none"/>
              </w:rPr>
              <w:t>E</w:t>
            </w:r>
            <w:r w:rsidR="00E00C6C" w:rsidRPr="00C14ADD">
              <w:rPr>
                <w:rStyle w:val="Hyperlink"/>
                <w:b w:val="0"/>
                <w:noProof/>
                <w:u w:val="none"/>
              </w:rPr>
              <w:t>vidence piece 14:</w:t>
            </w:r>
          </w:hyperlink>
          <w:r w:rsidR="00B21C5C" w:rsidRPr="00C14ADD">
            <w:rPr>
              <w:rStyle w:val="Hyperlink"/>
              <w:b w:val="0"/>
              <w:noProof/>
              <w:u w:val="none"/>
            </w:rPr>
            <w:t xml:space="preserve"> </w:t>
          </w:r>
          <w:hyperlink w:anchor="_Toc49462482" w:history="1">
            <w:r w:rsidR="00E00C6C" w:rsidRPr="00C14ADD">
              <w:rPr>
                <w:rStyle w:val="Hyperlink"/>
                <w:b w:val="0"/>
                <w:noProof/>
                <w:u w:val="none"/>
              </w:rPr>
              <w:t xml:space="preserve">Mentoring to support transition and employment for people </w:t>
            </w:r>
            <w:r w:rsidR="00753A3D">
              <w:rPr>
                <w:rStyle w:val="Hyperlink"/>
                <w:b w:val="0"/>
                <w:noProof/>
                <w:u w:val="none"/>
              </w:rPr>
              <w:br/>
            </w:r>
            <w:r w:rsidR="00E00C6C" w:rsidRPr="00C14ADD">
              <w:rPr>
                <w:rStyle w:val="Hyperlink"/>
                <w:b w:val="0"/>
                <w:noProof/>
                <w:u w:val="none"/>
              </w:rPr>
              <w:t>with intellectual disability</w:t>
            </w:r>
            <w:r w:rsidR="0076143A">
              <w:rPr>
                <w:noProof/>
                <w:webHidden/>
              </w:rPr>
              <w:t xml:space="preserve"> </w:t>
            </w:r>
            <w:r w:rsidR="00753A3D">
              <w:rPr>
                <w:noProof/>
                <w:webHidden/>
              </w:rPr>
              <w:t xml:space="preserve">                                                                                                 </w:t>
            </w:r>
            <w:r w:rsidR="00692EEE">
              <w:rPr>
                <w:noProof/>
                <w:webHidden/>
              </w:rPr>
              <w:t xml:space="preserve">    </w:t>
            </w:r>
            <w:r w:rsidR="00753A3D">
              <w:rPr>
                <w:noProof/>
                <w:webHidden/>
              </w:rPr>
              <w:t xml:space="preserve"> </w:t>
            </w:r>
            <w:r w:rsidR="00E00C6C" w:rsidRPr="00C14ADD">
              <w:rPr>
                <w:noProof/>
                <w:webHidden/>
              </w:rPr>
              <w:fldChar w:fldCharType="begin"/>
            </w:r>
            <w:r w:rsidR="00E00C6C" w:rsidRPr="00C14ADD">
              <w:rPr>
                <w:noProof/>
                <w:webHidden/>
              </w:rPr>
              <w:instrText xml:space="preserve"> PAGEREF _Toc49462482 \h </w:instrText>
            </w:r>
            <w:r w:rsidR="00E00C6C" w:rsidRPr="00C14ADD">
              <w:rPr>
                <w:noProof/>
                <w:webHidden/>
              </w:rPr>
            </w:r>
            <w:r w:rsidR="00E00C6C" w:rsidRPr="00C14ADD">
              <w:rPr>
                <w:noProof/>
                <w:webHidden/>
              </w:rPr>
              <w:fldChar w:fldCharType="separate"/>
            </w:r>
            <w:r w:rsidR="00BF7150">
              <w:rPr>
                <w:noProof/>
                <w:webHidden/>
              </w:rPr>
              <w:t>51</w:t>
            </w:r>
            <w:r w:rsidR="00E00C6C" w:rsidRPr="00C14ADD">
              <w:rPr>
                <w:noProof/>
                <w:webHidden/>
              </w:rPr>
              <w:fldChar w:fldCharType="end"/>
            </w:r>
          </w:hyperlink>
        </w:p>
        <w:p w14:paraId="32F6B6E3" w14:textId="60882157" w:rsidR="00E00C6C" w:rsidRPr="00C14ADD" w:rsidRDefault="00125D38" w:rsidP="00F90B8A">
          <w:pPr>
            <w:pStyle w:val="TOC1"/>
            <w:rPr>
              <w:rFonts w:eastAsiaTheme="minorEastAsia" w:cstheme="minorBidi"/>
              <w:noProof/>
              <w:sz w:val="22"/>
              <w:szCs w:val="22"/>
              <w:lang w:val="en-AU" w:eastAsia="en-AU"/>
            </w:rPr>
          </w:pPr>
          <w:hyperlink w:anchor="_Toc49462483" w:history="1">
            <w:r w:rsidR="00C14ADD" w:rsidRPr="00C14ADD">
              <w:rPr>
                <w:rStyle w:val="Hyperlink"/>
                <w:b w:val="0"/>
                <w:noProof/>
                <w:u w:val="none"/>
              </w:rPr>
              <w:t>E</w:t>
            </w:r>
            <w:r w:rsidR="00E00C6C" w:rsidRPr="00C14ADD">
              <w:rPr>
                <w:rStyle w:val="Hyperlink"/>
                <w:b w:val="0"/>
                <w:noProof/>
                <w:u w:val="none"/>
              </w:rPr>
              <w:t>vidence piece 15:</w:t>
            </w:r>
          </w:hyperlink>
          <w:r w:rsidR="00B21C5C" w:rsidRPr="00C14ADD">
            <w:rPr>
              <w:rStyle w:val="Hyperlink"/>
              <w:b w:val="0"/>
              <w:noProof/>
              <w:u w:val="none"/>
            </w:rPr>
            <w:t xml:space="preserve"> </w:t>
          </w:r>
          <w:hyperlink w:anchor="_Toc49462484" w:history="1">
            <w:r w:rsidR="00E00C6C" w:rsidRPr="00C14ADD">
              <w:rPr>
                <w:rStyle w:val="Hyperlink"/>
                <w:b w:val="0"/>
                <w:noProof/>
                <w:u w:val="none"/>
              </w:rPr>
              <w:t>Microenterprises and people with intellectual disability</w:t>
            </w:r>
            <w:r w:rsidR="0076143A">
              <w:rPr>
                <w:noProof/>
                <w:webHidden/>
              </w:rPr>
              <w:t xml:space="preserve"> </w:t>
            </w:r>
            <w:r w:rsidR="00753A3D">
              <w:rPr>
                <w:noProof/>
                <w:webHidden/>
              </w:rPr>
              <w:t xml:space="preserve">          </w:t>
            </w:r>
            <w:r w:rsidR="00692EEE">
              <w:rPr>
                <w:noProof/>
                <w:webHidden/>
              </w:rPr>
              <w:t xml:space="preserve">    </w:t>
            </w:r>
            <w:r w:rsidR="00753A3D">
              <w:rPr>
                <w:noProof/>
                <w:webHidden/>
              </w:rPr>
              <w:t xml:space="preserve">  </w:t>
            </w:r>
            <w:r w:rsidR="00E00C6C" w:rsidRPr="00C14ADD">
              <w:rPr>
                <w:noProof/>
                <w:webHidden/>
              </w:rPr>
              <w:fldChar w:fldCharType="begin"/>
            </w:r>
            <w:r w:rsidR="00E00C6C" w:rsidRPr="00C14ADD">
              <w:rPr>
                <w:noProof/>
                <w:webHidden/>
              </w:rPr>
              <w:instrText xml:space="preserve"> PAGEREF _Toc49462484 \h </w:instrText>
            </w:r>
            <w:r w:rsidR="00E00C6C" w:rsidRPr="00C14ADD">
              <w:rPr>
                <w:noProof/>
                <w:webHidden/>
              </w:rPr>
            </w:r>
            <w:r w:rsidR="00E00C6C" w:rsidRPr="00C14ADD">
              <w:rPr>
                <w:noProof/>
                <w:webHidden/>
              </w:rPr>
              <w:fldChar w:fldCharType="separate"/>
            </w:r>
            <w:r w:rsidR="00BF7150">
              <w:rPr>
                <w:noProof/>
                <w:webHidden/>
              </w:rPr>
              <w:t>54</w:t>
            </w:r>
            <w:r w:rsidR="00E00C6C" w:rsidRPr="00C14ADD">
              <w:rPr>
                <w:noProof/>
                <w:webHidden/>
              </w:rPr>
              <w:fldChar w:fldCharType="end"/>
            </w:r>
          </w:hyperlink>
        </w:p>
        <w:p w14:paraId="5DD63FAB" w14:textId="361FDF75" w:rsidR="00E00C6C" w:rsidRPr="00C14ADD" w:rsidRDefault="00125D38" w:rsidP="00F90B8A">
          <w:pPr>
            <w:pStyle w:val="TOC1"/>
            <w:rPr>
              <w:rFonts w:eastAsiaTheme="minorEastAsia" w:cstheme="minorBidi"/>
              <w:noProof/>
              <w:sz w:val="22"/>
              <w:szCs w:val="22"/>
              <w:lang w:val="en-AU" w:eastAsia="en-AU"/>
            </w:rPr>
          </w:pPr>
          <w:hyperlink w:anchor="_Toc49462485" w:history="1">
            <w:r w:rsidR="00C14ADD" w:rsidRPr="00C14ADD">
              <w:rPr>
                <w:rStyle w:val="Hyperlink"/>
                <w:b w:val="0"/>
                <w:noProof/>
                <w:u w:val="none"/>
              </w:rPr>
              <w:t>E</w:t>
            </w:r>
            <w:r w:rsidR="00E00C6C" w:rsidRPr="00C14ADD">
              <w:rPr>
                <w:rStyle w:val="Hyperlink"/>
                <w:b w:val="0"/>
                <w:noProof/>
                <w:u w:val="none"/>
              </w:rPr>
              <w:t>vidence piece 16:</w:t>
            </w:r>
          </w:hyperlink>
          <w:r w:rsidR="00B21C5C" w:rsidRPr="00C14ADD">
            <w:rPr>
              <w:rStyle w:val="Hyperlink"/>
              <w:b w:val="0"/>
              <w:noProof/>
              <w:u w:val="none"/>
            </w:rPr>
            <w:t xml:space="preserve"> </w:t>
          </w:r>
          <w:hyperlink w:anchor="_Toc49462486" w:history="1">
            <w:r w:rsidR="00E00C6C" w:rsidRPr="00C14ADD">
              <w:rPr>
                <w:rStyle w:val="Hyperlink"/>
                <w:b w:val="0"/>
                <w:noProof/>
                <w:u w:val="none"/>
              </w:rPr>
              <w:t xml:space="preserve">The role of interagency collaboration as a factor in </w:t>
            </w:r>
            <w:r w:rsidR="00753A3D">
              <w:rPr>
                <w:rStyle w:val="Hyperlink"/>
                <w:b w:val="0"/>
                <w:noProof/>
                <w:u w:val="none"/>
              </w:rPr>
              <w:br/>
            </w:r>
            <w:r w:rsidR="00E00C6C" w:rsidRPr="00C14ADD">
              <w:rPr>
                <w:rStyle w:val="Hyperlink"/>
                <w:b w:val="0"/>
                <w:noProof/>
                <w:u w:val="none"/>
              </w:rPr>
              <w:t>facilitating employment for people with intellectual disability</w:t>
            </w:r>
            <w:r w:rsidR="0076143A">
              <w:rPr>
                <w:noProof/>
                <w:webHidden/>
              </w:rPr>
              <w:t xml:space="preserve"> </w:t>
            </w:r>
            <w:r w:rsidR="00753A3D">
              <w:rPr>
                <w:noProof/>
                <w:webHidden/>
              </w:rPr>
              <w:t xml:space="preserve">                                 </w:t>
            </w:r>
            <w:r w:rsidR="00692EEE">
              <w:rPr>
                <w:noProof/>
                <w:webHidden/>
              </w:rPr>
              <w:t xml:space="preserve">    </w:t>
            </w:r>
            <w:r w:rsidR="00753A3D">
              <w:rPr>
                <w:noProof/>
                <w:webHidden/>
              </w:rPr>
              <w:t xml:space="preserve">  </w:t>
            </w:r>
            <w:r w:rsidR="00E00C6C" w:rsidRPr="00C14ADD">
              <w:rPr>
                <w:noProof/>
                <w:webHidden/>
              </w:rPr>
              <w:fldChar w:fldCharType="begin"/>
            </w:r>
            <w:r w:rsidR="00E00C6C" w:rsidRPr="00C14ADD">
              <w:rPr>
                <w:noProof/>
                <w:webHidden/>
              </w:rPr>
              <w:instrText xml:space="preserve"> PAGEREF _Toc49462486 \h </w:instrText>
            </w:r>
            <w:r w:rsidR="00E00C6C" w:rsidRPr="00C14ADD">
              <w:rPr>
                <w:noProof/>
                <w:webHidden/>
              </w:rPr>
            </w:r>
            <w:r w:rsidR="00E00C6C" w:rsidRPr="00C14ADD">
              <w:rPr>
                <w:noProof/>
                <w:webHidden/>
              </w:rPr>
              <w:fldChar w:fldCharType="separate"/>
            </w:r>
            <w:r w:rsidR="00BF7150">
              <w:rPr>
                <w:noProof/>
                <w:webHidden/>
              </w:rPr>
              <w:t>58</w:t>
            </w:r>
            <w:r w:rsidR="00E00C6C" w:rsidRPr="00C14ADD">
              <w:rPr>
                <w:noProof/>
                <w:webHidden/>
              </w:rPr>
              <w:fldChar w:fldCharType="end"/>
            </w:r>
          </w:hyperlink>
        </w:p>
        <w:p w14:paraId="0A3ACB44" w14:textId="5D5629CA" w:rsidR="00E00C6C" w:rsidRPr="00C14ADD" w:rsidRDefault="00125D38" w:rsidP="00F90B8A">
          <w:pPr>
            <w:pStyle w:val="TOC1"/>
            <w:rPr>
              <w:rFonts w:eastAsiaTheme="minorEastAsia" w:cstheme="minorBidi"/>
              <w:noProof/>
              <w:sz w:val="22"/>
              <w:szCs w:val="22"/>
              <w:lang w:val="en-AU" w:eastAsia="en-AU"/>
            </w:rPr>
          </w:pPr>
          <w:hyperlink w:anchor="_Toc49462487" w:history="1">
            <w:r w:rsidR="00C14ADD" w:rsidRPr="00C14ADD">
              <w:rPr>
                <w:rStyle w:val="Hyperlink"/>
                <w:b w:val="0"/>
                <w:noProof/>
                <w:u w:val="none"/>
              </w:rPr>
              <w:t>E</w:t>
            </w:r>
            <w:r w:rsidR="00E00C6C" w:rsidRPr="00C14ADD">
              <w:rPr>
                <w:rStyle w:val="Hyperlink"/>
                <w:b w:val="0"/>
                <w:noProof/>
                <w:u w:val="none"/>
              </w:rPr>
              <w:t>vidence piece 17:</w:t>
            </w:r>
          </w:hyperlink>
          <w:r w:rsidR="00B21C5C" w:rsidRPr="00C14ADD">
            <w:rPr>
              <w:rStyle w:val="Hyperlink"/>
              <w:b w:val="0"/>
              <w:noProof/>
              <w:u w:val="none"/>
            </w:rPr>
            <w:t xml:space="preserve"> </w:t>
          </w:r>
          <w:hyperlink w:anchor="_Toc49462488" w:history="1">
            <w:r w:rsidR="00E00C6C" w:rsidRPr="00C14ADD">
              <w:rPr>
                <w:rStyle w:val="Hyperlink"/>
                <w:b w:val="0"/>
                <w:noProof/>
                <w:u w:val="none"/>
              </w:rPr>
              <w:t xml:space="preserve">What are the outcomes of open employment for people </w:t>
            </w:r>
            <w:r w:rsidR="00753A3D">
              <w:rPr>
                <w:rStyle w:val="Hyperlink"/>
                <w:b w:val="0"/>
                <w:noProof/>
                <w:u w:val="none"/>
              </w:rPr>
              <w:br/>
            </w:r>
            <w:r w:rsidR="00E00C6C" w:rsidRPr="00C14ADD">
              <w:rPr>
                <w:rStyle w:val="Hyperlink"/>
                <w:b w:val="0"/>
                <w:noProof/>
                <w:u w:val="none"/>
              </w:rPr>
              <w:t>with intellectual disability?</w:t>
            </w:r>
            <w:r w:rsidR="0076143A">
              <w:rPr>
                <w:noProof/>
                <w:webHidden/>
              </w:rPr>
              <w:t xml:space="preserve"> </w:t>
            </w:r>
            <w:r w:rsidR="00753A3D">
              <w:rPr>
                <w:noProof/>
                <w:webHidden/>
              </w:rPr>
              <w:t xml:space="preserve">                                                                                                </w:t>
            </w:r>
            <w:r w:rsidR="00692EEE">
              <w:rPr>
                <w:noProof/>
                <w:webHidden/>
              </w:rPr>
              <w:t xml:space="preserve">    </w:t>
            </w:r>
            <w:r w:rsidR="00E00C6C" w:rsidRPr="00C14ADD">
              <w:rPr>
                <w:noProof/>
                <w:webHidden/>
              </w:rPr>
              <w:fldChar w:fldCharType="begin"/>
            </w:r>
            <w:r w:rsidR="00E00C6C" w:rsidRPr="00C14ADD">
              <w:rPr>
                <w:noProof/>
                <w:webHidden/>
              </w:rPr>
              <w:instrText xml:space="preserve"> PAGEREF _Toc49462488 \h </w:instrText>
            </w:r>
            <w:r w:rsidR="00E00C6C" w:rsidRPr="00C14ADD">
              <w:rPr>
                <w:noProof/>
                <w:webHidden/>
              </w:rPr>
            </w:r>
            <w:r w:rsidR="00E00C6C" w:rsidRPr="00C14ADD">
              <w:rPr>
                <w:noProof/>
                <w:webHidden/>
              </w:rPr>
              <w:fldChar w:fldCharType="separate"/>
            </w:r>
            <w:r w:rsidR="00BF7150">
              <w:rPr>
                <w:noProof/>
                <w:webHidden/>
              </w:rPr>
              <w:t>61</w:t>
            </w:r>
            <w:r w:rsidR="00E00C6C" w:rsidRPr="00C14ADD">
              <w:rPr>
                <w:noProof/>
                <w:webHidden/>
              </w:rPr>
              <w:fldChar w:fldCharType="end"/>
            </w:r>
          </w:hyperlink>
        </w:p>
        <w:p w14:paraId="07307E29" w14:textId="5D86C1E5" w:rsidR="00C62AA7" w:rsidRPr="00753A3D" w:rsidRDefault="00125D38" w:rsidP="00753A3D">
          <w:pPr>
            <w:pStyle w:val="TOC1"/>
            <w:rPr>
              <w:rFonts w:eastAsiaTheme="minorEastAsia" w:cstheme="minorBidi"/>
              <w:noProof/>
              <w:sz w:val="22"/>
              <w:szCs w:val="22"/>
              <w:lang w:val="en-AU" w:eastAsia="en-AU"/>
            </w:rPr>
          </w:pPr>
          <w:hyperlink w:anchor="_Toc49462489" w:history="1">
            <w:r w:rsidR="00E00C6C" w:rsidRPr="00C14ADD">
              <w:rPr>
                <w:rStyle w:val="Hyperlink"/>
                <w:b w:val="0"/>
                <w:noProof/>
                <w:u w:val="none"/>
              </w:rPr>
              <w:t>References</w:t>
            </w:r>
            <w:r w:rsidR="00753A3D">
              <w:rPr>
                <w:rStyle w:val="Hyperlink"/>
                <w:b w:val="0"/>
                <w:noProof/>
                <w:u w:val="none"/>
              </w:rPr>
              <w:t xml:space="preserve">                                                                                                                            </w:t>
            </w:r>
            <w:r w:rsidR="00692EEE">
              <w:rPr>
                <w:rStyle w:val="Hyperlink"/>
                <w:b w:val="0"/>
                <w:noProof/>
                <w:u w:val="none"/>
              </w:rPr>
              <w:t xml:space="preserve">    </w:t>
            </w:r>
            <w:r w:rsidR="0076143A">
              <w:rPr>
                <w:noProof/>
                <w:webHidden/>
              </w:rPr>
              <w:t xml:space="preserve"> </w:t>
            </w:r>
            <w:r w:rsidR="00E00C6C" w:rsidRPr="00C14ADD">
              <w:rPr>
                <w:noProof/>
                <w:webHidden/>
              </w:rPr>
              <w:fldChar w:fldCharType="begin"/>
            </w:r>
            <w:r w:rsidR="00E00C6C" w:rsidRPr="00C14ADD">
              <w:rPr>
                <w:noProof/>
                <w:webHidden/>
              </w:rPr>
              <w:instrText xml:space="preserve"> PAGEREF _Toc49462489 \h </w:instrText>
            </w:r>
            <w:r w:rsidR="00E00C6C" w:rsidRPr="00C14ADD">
              <w:rPr>
                <w:noProof/>
                <w:webHidden/>
              </w:rPr>
            </w:r>
            <w:r w:rsidR="00E00C6C" w:rsidRPr="00C14ADD">
              <w:rPr>
                <w:noProof/>
                <w:webHidden/>
              </w:rPr>
              <w:fldChar w:fldCharType="separate"/>
            </w:r>
            <w:r w:rsidR="00BF7150">
              <w:rPr>
                <w:noProof/>
                <w:webHidden/>
              </w:rPr>
              <w:t>66</w:t>
            </w:r>
            <w:r w:rsidR="00E00C6C" w:rsidRPr="00C14ADD">
              <w:rPr>
                <w:noProof/>
                <w:webHidden/>
              </w:rPr>
              <w:fldChar w:fldCharType="end"/>
            </w:r>
          </w:hyperlink>
          <w:r w:rsidR="00E00C6C" w:rsidRPr="005B5064">
            <w:rPr>
              <w:rFonts w:eastAsiaTheme="minorEastAsia" w:cstheme="minorBidi"/>
              <w:smallCaps/>
              <w:lang w:val="en-AU" w:eastAsia="en-AU"/>
            </w:rPr>
            <w:fldChar w:fldCharType="end"/>
          </w:r>
        </w:p>
      </w:sdtContent>
    </w:sdt>
    <w:p w14:paraId="5EA380FF" w14:textId="77777777" w:rsidR="00C62AA7" w:rsidRDefault="00C62AA7" w:rsidP="00CE427B">
      <w:pPr>
        <w:pStyle w:val="Heading1"/>
        <w:sectPr w:rsidR="00C62AA7" w:rsidSect="00156D42">
          <w:pgSz w:w="11909" w:h="16834" w:code="9"/>
          <w:pgMar w:top="964" w:right="1418" w:bottom="964" w:left="964" w:header="851" w:footer="851" w:gutter="0"/>
          <w:cols w:space="720"/>
          <w:titlePg/>
          <w:docGrid w:linePitch="286"/>
        </w:sectPr>
      </w:pPr>
    </w:p>
    <w:p w14:paraId="05D53FF4" w14:textId="77777777" w:rsidR="00B264A7" w:rsidRDefault="00B264A7" w:rsidP="00CE427B">
      <w:pPr>
        <w:pStyle w:val="Heading1"/>
      </w:pPr>
      <w:bookmarkStart w:id="20" w:name="_Toc49417862"/>
      <w:bookmarkStart w:id="21" w:name="_Toc49419931"/>
      <w:bookmarkStart w:id="22" w:name="_Toc49462450"/>
      <w:r>
        <w:lastRenderedPageBreak/>
        <w:t>glossary</w:t>
      </w:r>
      <w:bookmarkEnd w:id="20"/>
      <w:bookmarkEnd w:id="21"/>
      <w:bookmarkEnd w:id="22"/>
    </w:p>
    <w:p w14:paraId="4F514EF8" w14:textId="77777777" w:rsidR="00B264A7" w:rsidRDefault="00B264A7" w:rsidP="00CE427B">
      <w:pPr>
        <w:pStyle w:val="Heading1"/>
      </w:pPr>
    </w:p>
    <w:tbl>
      <w:tblPr>
        <w:tblStyle w:val="TableGrid"/>
        <w:tblW w:w="0" w:type="auto"/>
        <w:tblLook w:val="04A0" w:firstRow="1" w:lastRow="0" w:firstColumn="1" w:lastColumn="0" w:noHBand="0" w:noVBand="1"/>
      </w:tblPr>
      <w:tblGrid>
        <w:gridCol w:w="1838"/>
        <w:gridCol w:w="8133"/>
      </w:tblGrid>
      <w:tr w:rsidR="0038318F" w:rsidRPr="00B264A7" w14:paraId="35E1CED8" w14:textId="77777777" w:rsidTr="00B13F3C">
        <w:tc>
          <w:tcPr>
            <w:tcW w:w="1838" w:type="dxa"/>
          </w:tcPr>
          <w:p w14:paraId="55FE27A1" w14:textId="77777777" w:rsidR="0038318F" w:rsidRDefault="0038318F" w:rsidP="00B13F3C">
            <w:pPr>
              <w:pStyle w:val="BodyTextSP"/>
              <w:rPr>
                <w:rFonts w:asciiTheme="minorHAnsi" w:hAnsiTheme="minorHAnsi" w:cstheme="minorHAnsi"/>
                <w:sz w:val="21"/>
                <w:szCs w:val="21"/>
              </w:rPr>
            </w:pPr>
            <w:r>
              <w:rPr>
                <w:rFonts w:asciiTheme="minorHAnsi" w:hAnsiTheme="minorHAnsi" w:cstheme="minorHAnsi"/>
                <w:sz w:val="21"/>
                <w:szCs w:val="21"/>
              </w:rPr>
              <w:t>ABS</w:t>
            </w:r>
          </w:p>
        </w:tc>
        <w:tc>
          <w:tcPr>
            <w:tcW w:w="8133" w:type="dxa"/>
          </w:tcPr>
          <w:p w14:paraId="12432B53" w14:textId="77777777" w:rsidR="0038318F" w:rsidRDefault="0038318F" w:rsidP="00B13F3C">
            <w:pPr>
              <w:pStyle w:val="BodyTextSP"/>
              <w:rPr>
                <w:rFonts w:asciiTheme="minorHAnsi" w:hAnsiTheme="minorHAnsi" w:cstheme="minorHAnsi"/>
                <w:sz w:val="21"/>
                <w:szCs w:val="21"/>
              </w:rPr>
            </w:pPr>
            <w:r>
              <w:rPr>
                <w:rFonts w:asciiTheme="minorHAnsi" w:hAnsiTheme="minorHAnsi" w:cstheme="minorHAnsi"/>
                <w:sz w:val="21"/>
                <w:szCs w:val="21"/>
              </w:rPr>
              <w:t>Australian Bureau of Statistics</w:t>
            </w:r>
          </w:p>
        </w:tc>
      </w:tr>
      <w:tr w:rsidR="0038318F" w:rsidRPr="00B264A7" w14:paraId="53EDE1CB" w14:textId="77777777" w:rsidTr="00B13F3C">
        <w:tc>
          <w:tcPr>
            <w:tcW w:w="1838" w:type="dxa"/>
          </w:tcPr>
          <w:p w14:paraId="32C8F715" w14:textId="77777777" w:rsidR="0038318F" w:rsidRPr="00B264A7" w:rsidRDefault="0038318F" w:rsidP="00B13F3C">
            <w:pPr>
              <w:pStyle w:val="BodyTextSP"/>
              <w:rPr>
                <w:rFonts w:asciiTheme="minorHAnsi" w:hAnsiTheme="minorHAnsi" w:cstheme="minorHAnsi"/>
                <w:sz w:val="21"/>
                <w:szCs w:val="21"/>
              </w:rPr>
            </w:pPr>
            <w:r>
              <w:rPr>
                <w:rFonts w:asciiTheme="minorHAnsi" w:hAnsiTheme="minorHAnsi" w:cstheme="minorHAnsi"/>
                <w:sz w:val="21"/>
                <w:szCs w:val="21"/>
              </w:rPr>
              <w:t>ADE</w:t>
            </w:r>
          </w:p>
        </w:tc>
        <w:tc>
          <w:tcPr>
            <w:tcW w:w="8133" w:type="dxa"/>
          </w:tcPr>
          <w:p w14:paraId="62BBA676" w14:textId="77777777" w:rsidR="0038318F" w:rsidRPr="00B264A7" w:rsidRDefault="0038318F" w:rsidP="00B13F3C">
            <w:pPr>
              <w:pStyle w:val="BodyTextSP"/>
              <w:rPr>
                <w:rFonts w:asciiTheme="minorHAnsi" w:hAnsiTheme="minorHAnsi" w:cstheme="minorHAnsi"/>
                <w:sz w:val="21"/>
                <w:szCs w:val="21"/>
              </w:rPr>
            </w:pPr>
            <w:r>
              <w:rPr>
                <w:rFonts w:asciiTheme="minorHAnsi" w:hAnsiTheme="minorHAnsi" w:cstheme="minorHAnsi"/>
                <w:sz w:val="21"/>
                <w:szCs w:val="21"/>
              </w:rPr>
              <w:t>Australian Disability Enterprise</w:t>
            </w:r>
          </w:p>
        </w:tc>
      </w:tr>
      <w:tr w:rsidR="0038318F" w:rsidRPr="00B264A7" w14:paraId="24DD3326" w14:textId="77777777" w:rsidTr="00B13F3C">
        <w:tc>
          <w:tcPr>
            <w:tcW w:w="1838" w:type="dxa"/>
          </w:tcPr>
          <w:p w14:paraId="67FC1C49" w14:textId="77777777" w:rsidR="0038318F" w:rsidRDefault="0038318F" w:rsidP="00B13F3C">
            <w:pPr>
              <w:pStyle w:val="BodyTextSP"/>
              <w:rPr>
                <w:rFonts w:asciiTheme="minorHAnsi" w:hAnsiTheme="minorHAnsi" w:cstheme="minorHAnsi"/>
                <w:sz w:val="21"/>
                <w:szCs w:val="21"/>
              </w:rPr>
            </w:pPr>
            <w:r>
              <w:rPr>
                <w:rFonts w:asciiTheme="minorHAnsi" w:hAnsiTheme="minorHAnsi" w:cstheme="minorHAnsi"/>
                <w:sz w:val="21"/>
                <w:szCs w:val="21"/>
              </w:rPr>
              <w:t>AFDO</w:t>
            </w:r>
          </w:p>
        </w:tc>
        <w:tc>
          <w:tcPr>
            <w:tcW w:w="8133" w:type="dxa"/>
          </w:tcPr>
          <w:p w14:paraId="4DD5F9CE" w14:textId="77777777" w:rsidR="0038318F" w:rsidRPr="009A45A5" w:rsidRDefault="0038318F" w:rsidP="00B13F3C">
            <w:pPr>
              <w:pStyle w:val="BodyTextSP"/>
              <w:rPr>
                <w:rFonts w:asciiTheme="minorHAnsi" w:hAnsiTheme="minorHAnsi" w:cstheme="minorHAnsi"/>
                <w:sz w:val="21"/>
                <w:szCs w:val="21"/>
              </w:rPr>
            </w:pPr>
            <w:r w:rsidRPr="009A45A5">
              <w:rPr>
                <w:rFonts w:asciiTheme="minorHAnsi" w:hAnsiTheme="minorHAnsi" w:cstheme="minorHAnsi"/>
                <w:sz w:val="21"/>
                <w:szCs w:val="21"/>
              </w:rPr>
              <w:t xml:space="preserve">Australian Federation of Disability </w:t>
            </w:r>
            <w:proofErr w:type="spellStart"/>
            <w:r w:rsidRPr="009A45A5">
              <w:rPr>
                <w:rFonts w:asciiTheme="minorHAnsi" w:hAnsiTheme="minorHAnsi" w:cstheme="minorHAnsi"/>
                <w:sz w:val="21"/>
                <w:szCs w:val="21"/>
              </w:rPr>
              <w:t>Organisations</w:t>
            </w:r>
            <w:proofErr w:type="spellEnd"/>
          </w:p>
        </w:tc>
      </w:tr>
      <w:tr w:rsidR="0038318F" w:rsidRPr="00B264A7" w14:paraId="0C8826C9" w14:textId="77777777" w:rsidTr="00B13F3C">
        <w:tc>
          <w:tcPr>
            <w:tcW w:w="1838" w:type="dxa"/>
          </w:tcPr>
          <w:p w14:paraId="54FFEE14" w14:textId="77777777" w:rsidR="0038318F" w:rsidRPr="002F1754" w:rsidRDefault="0038318F" w:rsidP="00B13F3C">
            <w:pPr>
              <w:pStyle w:val="BodyTextSP"/>
              <w:rPr>
                <w:rFonts w:asciiTheme="minorHAnsi" w:hAnsiTheme="minorHAnsi" w:cstheme="minorHAnsi"/>
                <w:sz w:val="21"/>
                <w:szCs w:val="21"/>
              </w:rPr>
            </w:pPr>
            <w:r w:rsidRPr="002F1754">
              <w:rPr>
                <w:rFonts w:asciiTheme="minorHAnsi" w:hAnsiTheme="minorHAnsi" w:cstheme="minorHAnsi"/>
                <w:sz w:val="21"/>
                <w:szCs w:val="21"/>
                <w:lang w:eastAsia="en-AU"/>
              </w:rPr>
              <w:t>AS</w:t>
            </w:r>
            <w:r>
              <w:rPr>
                <w:rFonts w:asciiTheme="minorHAnsi" w:hAnsiTheme="minorHAnsi" w:cstheme="minorHAnsi"/>
                <w:sz w:val="21"/>
                <w:szCs w:val="21"/>
              </w:rPr>
              <w:t>B</w:t>
            </w:r>
            <w:r w:rsidRPr="002F1754">
              <w:rPr>
                <w:rFonts w:asciiTheme="minorHAnsi" w:hAnsiTheme="minorHAnsi" w:cstheme="minorHAnsi"/>
                <w:sz w:val="21"/>
                <w:szCs w:val="21"/>
                <w:lang w:eastAsia="en-AU"/>
              </w:rPr>
              <w:t>AT</w:t>
            </w:r>
          </w:p>
        </w:tc>
        <w:tc>
          <w:tcPr>
            <w:tcW w:w="8133" w:type="dxa"/>
          </w:tcPr>
          <w:p w14:paraId="795D54B9" w14:textId="77777777" w:rsidR="0038318F" w:rsidRPr="002F1754" w:rsidRDefault="0038318F" w:rsidP="00B13F3C">
            <w:pPr>
              <w:spacing w:before="80" w:after="60"/>
              <w:rPr>
                <w:rFonts w:asciiTheme="minorHAnsi" w:hAnsiTheme="minorHAnsi" w:cstheme="minorHAnsi"/>
                <w:szCs w:val="21"/>
              </w:rPr>
            </w:pPr>
            <w:r w:rsidRPr="002F1754">
              <w:rPr>
                <w:rFonts w:asciiTheme="minorHAnsi" w:hAnsiTheme="minorHAnsi" w:cstheme="minorHAnsi"/>
                <w:szCs w:val="21"/>
                <w:lang w:eastAsia="en-AU"/>
              </w:rPr>
              <w:t>Australian School based Apprenticeships and Traineeships</w:t>
            </w:r>
          </w:p>
        </w:tc>
      </w:tr>
      <w:tr w:rsidR="0038318F" w:rsidRPr="00B264A7" w14:paraId="189B434F" w14:textId="77777777" w:rsidTr="00B13F3C">
        <w:tc>
          <w:tcPr>
            <w:tcW w:w="1838" w:type="dxa"/>
          </w:tcPr>
          <w:p w14:paraId="5E449DF2" w14:textId="77777777" w:rsidR="0038318F" w:rsidRDefault="0038318F" w:rsidP="00B13F3C">
            <w:pPr>
              <w:pStyle w:val="BodyTextSP"/>
              <w:rPr>
                <w:rFonts w:asciiTheme="minorHAnsi" w:hAnsiTheme="minorHAnsi" w:cstheme="minorHAnsi"/>
                <w:sz w:val="21"/>
                <w:szCs w:val="21"/>
              </w:rPr>
            </w:pPr>
            <w:r>
              <w:rPr>
                <w:rFonts w:asciiTheme="minorHAnsi" w:hAnsiTheme="minorHAnsi" w:cstheme="minorHAnsi"/>
                <w:sz w:val="21"/>
                <w:szCs w:val="21"/>
              </w:rPr>
              <w:t>CIE</w:t>
            </w:r>
          </w:p>
        </w:tc>
        <w:tc>
          <w:tcPr>
            <w:tcW w:w="8133" w:type="dxa"/>
          </w:tcPr>
          <w:p w14:paraId="096C3E36" w14:textId="77777777" w:rsidR="0038318F" w:rsidRDefault="0038318F" w:rsidP="00B13F3C">
            <w:pPr>
              <w:pStyle w:val="BodyTextSP"/>
              <w:rPr>
                <w:rFonts w:asciiTheme="minorHAnsi" w:hAnsiTheme="minorHAnsi" w:cstheme="minorHAnsi"/>
                <w:sz w:val="21"/>
                <w:szCs w:val="21"/>
              </w:rPr>
            </w:pPr>
            <w:r>
              <w:rPr>
                <w:rFonts w:asciiTheme="minorHAnsi" w:hAnsiTheme="minorHAnsi" w:cstheme="minorHAnsi"/>
                <w:sz w:val="21"/>
                <w:szCs w:val="21"/>
              </w:rPr>
              <w:t>Competitive Integrated Employment</w:t>
            </w:r>
          </w:p>
        </w:tc>
      </w:tr>
      <w:tr w:rsidR="0038318F" w:rsidRPr="00B264A7" w14:paraId="407EEBC3" w14:textId="77777777" w:rsidTr="00B13F3C">
        <w:tc>
          <w:tcPr>
            <w:tcW w:w="1838" w:type="dxa"/>
          </w:tcPr>
          <w:p w14:paraId="1771EF30" w14:textId="77777777" w:rsidR="0038318F" w:rsidRPr="00B264A7" w:rsidRDefault="0038318F" w:rsidP="00B13F3C">
            <w:pPr>
              <w:pStyle w:val="BodyTextSP"/>
              <w:rPr>
                <w:rFonts w:asciiTheme="minorHAnsi" w:hAnsiTheme="minorHAnsi" w:cstheme="minorHAnsi"/>
                <w:sz w:val="21"/>
                <w:szCs w:val="21"/>
              </w:rPr>
            </w:pPr>
            <w:r>
              <w:rPr>
                <w:rFonts w:asciiTheme="minorHAnsi" w:hAnsiTheme="minorHAnsi" w:cstheme="minorHAnsi"/>
                <w:sz w:val="21"/>
                <w:szCs w:val="21"/>
              </w:rPr>
              <w:t>DES</w:t>
            </w:r>
          </w:p>
        </w:tc>
        <w:tc>
          <w:tcPr>
            <w:tcW w:w="8133" w:type="dxa"/>
          </w:tcPr>
          <w:p w14:paraId="08F1D4D7" w14:textId="77777777" w:rsidR="0038318F" w:rsidRPr="00B264A7" w:rsidRDefault="0038318F" w:rsidP="00B13F3C">
            <w:pPr>
              <w:pStyle w:val="BodyTextSP"/>
              <w:rPr>
                <w:rFonts w:asciiTheme="minorHAnsi" w:hAnsiTheme="minorHAnsi" w:cstheme="minorHAnsi"/>
                <w:sz w:val="21"/>
                <w:szCs w:val="21"/>
              </w:rPr>
            </w:pPr>
            <w:r>
              <w:rPr>
                <w:rFonts w:asciiTheme="minorHAnsi" w:hAnsiTheme="minorHAnsi" w:cstheme="minorHAnsi"/>
                <w:sz w:val="21"/>
                <w:szCs w:val="21"/>
              </w:rPr>
              <w:t>Disability Employment Service(s)</w:t>
            </w:r>
          </w:p>
        </w:tc>
      </w:tr>
      <w:tr w:rsidR="0038318F" w:rsidRPr="00B264A7" w14:paraId="0F6F572C" w14:textId="77777777" w:rsidTr="00B13F3C">
        <w:tc>
          <w:tcPr>
            <w:tcW w:w="1838" w:type="dxa"/>
          </w:tcPr>
          <w:p w14:paraId="60275F65" w14:textId="77777777" w:rsidR="0038318F" w:rsidRPr="00B264A7" w:rsidRDefault="0038318F" w:rsidP="00B13F3C">
            <w:pPr>
              <w:pStyle w:val="BodyTextSP"/>
              <w:rPr>
                <w:rFonts w:asciiTheme="minorHAnsi" w:hAnsiTheme="minorHAnsi" w:cstheme="minorHAnsi"/>
                <w:sz w:val="21"/>
                <w:szCs w:val="21"/>
              </w:rPr>
            </w:pPr>
            <w:r>
              <w:rPr>
                <w:rFonts w:asciiTheme="minorHAnsi" w:hAnsiTheme="minorHAnsi" w:cstheme="minorHAnsi"/>
                <w:sz w:val="21"/>
                <w:szCs w:val="21"/>
              </w:rPr>
              <w:t>DSP</w:t>
            </w:r>
          </w:p>
        </w:tc>
        <w:tc>
          <w:tcPr>
            <w:tcW w:w="8133" w:type="dxa"/>
          </w:tcPr>
          <w:p w14:paraId="61839170" w14:textId="77777777" w:rsidR="0038318F" w:rsidRPr="00B264A7" w:rsidRDefault="0038318F" w:rsidP="00B13F3C">
            <w:pPr>
              <w:pStyle w:val="BodyTextSP"/>
              <w:rPr>
                <w:rFonts w:asciiTheme="minorHAnsi" w:hAnsiTheme="minorHAnsi" w:cstheme="minorHAnsi"/>
                <w:sz w:val="21"/>
                <w:szCs w:val="21"/>
              </w:rPr>
            </w:pPr>
            <w:r>
              <w:rPr>
                <w:rFonts w:asciiTheme="minorHAnsi" w:hAnsiTheme="minorHAnsi" w:cstheme="minorHAnsi"/>
                <w:sz w:val="21"/>
                <w:szCs w:val="21"/>
              </w:rPr>
              <w:t>Disability Support Pension</w:t>
            </w:r>
          </w:p>
        </w:tc>
      </w:tr>
      <w:tr w:rsidR="0038318F" w:rsidRPr="00B264A7" w14:paraId="4A2835EB" w14:textId="77777777" w:rsidTr="00B13F3C">
        <w:tc>
          <w:tcPr>
            <w:tcW w:w="1838" w:type="dxa"/>
          </w:tcPr>
          <w:p w14:paraId="3D6FF286" w14:textId="77777777" w:rsidR="0038318F" w:rsidRDefault="0038318F" w:rsidP="00B13F3C">
            <w:pPr>
              <w:pStyle w:val="BodyTextSP"/>
              <w:rPr>
                <w:rFonts w:asciiTheme="minorHAnsi" w:hAnsiTheme="minorHAnsi" w:cstheme="minorHAnsi"/>
                <w:sz w:val="21"/>
                <w:szCs w:val="21"/>
              </w:rPr>
            </w:pPr>
            <w:r>
              <w:rPr>
                <w:rFonts w:asciiTheme="minorHAnsi" w:hAnsiTheme="minorHAnsi" w:cstheme="minorHAnsi"/>
                <w:sz w:val="21"/>
                <w:szCs w:val="21"/>
              </w:rPr>
              <w:t>ECOS</w:t>
            </w:r>
          </w:p>
        </w:tc>
        <w:tc>
          <w:tcPr>
            <w:tcW w:w="8133" w:type="dxa"/>
          </w:tcPr>
          <w:p w14:paraId="0AB7D9B9" w14:textId="77777777" w:rsidR="0038318F" w:rsidRDefault="0038318F" w:rsidP="00B13F3C">
            <w:pPr>
              <w:pStyle w:val="BodyTextSP"/>
              <w:rPr>
                <w:rFonts w:asciiTheme="minorHAnsi" w:hAnsiTheme="minorHAnsi" w:cstheme="minorHAnsi"/>
                <w:sz w:val="21"/>
                <w:szCs w:val="21"/>
              </w:rPr>
            </w:pPr>
            <w:r>
              <w:rPr>
                <w:rFonts w:asciiTheme="minorHAnsi" w:hAnsiTheme="minorHAnsi" w:cstheme="minorHAnsi"/>
                <w:sz w:val="21"/>
                <w:szCs w:val="21"/>
              </w:rPr>
              <w:t>Employment Circles of Support</w:t>
            </w:r>
          </w:p>
        </w:tc>
      </w:tr>
      <w:tr w:rsidR="0038318F" w:rsidRPr="00B264A7" w14:paraId="0DB70C30" w14:textId="77777777" w:rsidTr="00B13F3C">
        <w:tc>
          <w:tcPr>
            <w:tcW w:w="1838" w:type="dxa"/>
          </w:tcPr>
          <w:p w14:paraId="03A95C8E" w14:textId="77777777" w:rsidR="0038318F" w:rsidRDefault="0038318F" w:rsidP="00B13F3C">
            <w:pPr>
              <w:pStyle w:val="BodyTextSP"/>
              <w:rPr>
                <w:rFonts w:asciiTheme="minorHAnsi" w:hAnsiTheme="minorHAnsi" w:cstheme="minorHAnsi"/>
                <w:sz w:val="21"/>
                <w:szCs w:val="21"/>
              </w:rPr>
            </w:pPr>
            <w:r>
              <w:rPr>
                <w:rFonts w:asciiTheme="minorHAnsi" w:hAnsiTheme="minorHAnsi" w:cstheme="minorHAnsi"/>
                <w:sz w:val="21"/>
                <w:szCs w:val="21"/>
              </w:rPr>
              <w:t>I/DD</w:t>
            </w:r>
          </w:p>
        </w:tc>
        <w:tc>
          <w:tcPr>
            <w:tcW w:w="8133" w:type="dxa"/>
          </w:tcPr>
          <w:p w14:paraId="13506172" w14:textId="77777777" w:rsidR="0038318F" w:rsidRDefault="0038318F" w:rsidP="00B13F3C">
            <w:pPr>
              <w:pStyle w:val="BodyTextSP"/>
              <w:rPr>
                <w:rFonts w:asciiTheme="minorHAnsi" w:hAnsiTheme="minorHAnsi" w:cstheme="minorHAnsi"/>
                <w:sz w:val="21"/>
                <w:szCs w:val="21"/>
              </w:rPr>
            </w:pPr>
            <w:r>
              <w:rPr>
                <w:rFonts w:asciiTheme="minorHAnsi" w:hAnsiTheme="minorHAnsi" w:cstheme="minorHAnsi"/>
                <w:sz w:val="21"/>
                <w:szCs w:val="21"/>
              </w:rPr>
              <w:t>Intellectual and developmental disability</w:t>
            </w:r>
          </w:p>
        </w:tc>
      </w:tr>
      <w:tr w:rsidR="0038318F" w:rsidRPr="00B264A7" w14:paraId="3750CA16" w14:textId="77777777" w:rsidTr="00B13F3C">
        <w:tc>
          <w:tcPr>
            <w:tcW w:w="1838" w:type="dxa"/>
          </w:tcPr>
          <w:p w14:paraId="425B42A3" w14:textId="77777777" w:rsidR="0038318F" w:rsidRPr="00B264A7" w:rsidRDefault="0038318F" w:rsidP="00B13F3C">
            <w:pPr>
              <w:pStyle w:val="BodyTextSP"/>
              <w:rPr>
                <w:rFonts w:asciiTheme="minorHAnsi" w:hAnsiTheme="minorHAnsi" w:cstheme="minorHAnsi"/>
                <w:sz w:val="21"/>
                <w:szCs w:val="21"/>
              </w:rPr>
            </w:pPr>
            <w:r>
              <w:rPr>
                <w:rFonts w:asciiTheme="minorHAnsi" w:hAnsiTheme="minorHAnsi" w:cstheme="minorHAnsi"/>
                <w:sz w:val="21"/>
                <w:szCs w:val="21"/>
              </w:rPr>
              <w:t>ILC</w:t>
            </w:r>
          </w:p>
        </w:tc>
        <w:tc>
          <w:tcPr>
            <w:tcW w:w="8133" w:type="dxa"/>
          </w:tcPr>
          <w:p w14:paraId="42183FB5" w14:textId="77777777" w:rsidR="0038318F" w:rsidRPr="00B264A7" w:rsidRDefault="0038318F" w:rsidP="00B13F3C">
            <w:pPr>
              <w:pStyle w:val="BodyTextSP"/>
              <w:rPr>
                <w:rFonts w:asciiTheme="minorHAnsi" w:hAnsiTheme="minorHAnsi" w:cstheme="minorHAnsi"/>
                <w:sz w:val="21"/>
                <w:szCs w:val="21"/>
              </w:rPr>
            </w:pPr>
            <w:r>
              <w:rPr>
                <w:rFonts w:asciiTheme="minorHAnsi" w:hAnsiTheme="minorHAnsi" w:cstheme="minorHAnsi"/>
                <w:sz w:val="21"/>
                <w:szCs w:val="21"/>
              </w:rPr>
              <w:t>Information Linkages and Capacity Building</w:t>
            </w:r>
          </w:p>
        </w:tc>
      </w:tr>
      <w:tr w:rsidR="0038318F" w:rsidRPr="00B264A7" w14:paraId="59BEE87C" w14:textId="77777777" w:rsidTr="00B13F3C">
        <w:tc>
          <w:tcPr>
            <w:tcW w:w="1838" w:type="dxa"/>
          </w:tcPr>
          <w:p w14:paraId="316584D6" w14:textId="77777777" w:rsidR="0038318F" w:rsidRDefault="0038318F" w:rsidP="00B13F3C">
            <w:pPr>
              <w:pStyle w:val="BodyTextSP"/>
              <w:rPr>
                <w:rFonts w:asciiTheme="minorHAnsi" w:hAnsiTheme="minorHAnsi" w:cstheme="minorHAnsi"/>
                <w:sz w:val="21"/>
                <w:szCs w:val="21"/>
              </w:rPr>
            </w:pPr>
            <w:r>
              <w:rPr>
                <w:rFonts w:asciiTheme="minorHAnsi" w:hAnsiTheme="minorHAnsi" w:cstheme="minorHAnsi"/>
                <w:sz w:val="21"/>
                <w:szCs w:val="21"/>
              </w:rPr>
              <w:t>IPP</w:t>
            </w:r>
          </w:p>
        </w:tc>
        <w:tc>
          <w:tcPr>
            <w:tcW w:w="8133" w:type="dxa"/>
          </w:tcPr>
          <w:p w14:paraId="1EA5CD3A" w14:textId="77777777" w:rsidR="0038318F" w:rsidRDefault="0038318F" w:rsidP="00B13F3C">
            <w:pPr>
              <w:pStyle w:val="BodyTextSP"/>
              <w:rPr>
                <w:rFonts w:asciiTheme="minorHAnsi" w:hAnsiTheme="minorHAnsi" w:cstheme="minorHAnsi"/>
                <w:sz w:val="21"/>
                <w:szCs w:val="21"/>
              </w:rPr>
            </w:pPr>
            <w:r>
              <w:rPr>
                <w:rFonts w:asciiTheme="minorHAnsi" w:hAnsiTheme="minorHAnsi" w:cstheme="minorHAnsi"/>
                <w:sz w:val="21"/>
                <w:szCs w:val="21"/>
              </w:rPr>
              <w:t>Integrated Practical Placement</w:t>
            </w:r>
          </w:p>
        </w:tc>
      </w:tr>
      <w:tr w:rsidR="0038318F" w:rsidRPr="00B264A7" w14:paraId="3FE6ACF0" w14:textId="77777777" w:rsidTr="00B13F3C">
        <w:tc>
          <w:tcPr>
            <w:tcW w:w="1838" w:type="dxa"/>
          </w:tcPr>
          <w:p w14:paraId="0BE9C2A7" w14:textId="77777777" w:rsidR="0038318F" w:rsidRDefault="0038318F" w:rsidP="00B13F3C">
            <w:pPr>
              <w:pStyle w:val="BodyTextSP"/>
              <w:rPr>
                <w:rFonts w:asciiTheme="minorHAnsi" w:hAnsiTheme="minorHAnsi" w:cstheme="minorHAnsi"/>
                <w:sz w:val="21"/>
                <w:szCs w:val="21"/>
              </w:rPr>
            </w:pPr>
            <w:r>
              <w:rPr>
                <w:rFonts w:asciiTheme="minorHAnsi" w:hAnsiTheme="minorHAnsi" w:cstheme="minorHAnsi"/>
                <w:sz w:val="21"/>
                <w:szCs w:val="21"/>
              </w:rPr>
              <w:t>IPS</w:t>
            </w:r>
          </w:p>
        </w:tc>
        <w:tc>
          <w:tcPr>
            <w:tcW w:w="8133" w:type="dxa"/>
          </w:tcPr>
          <w:p w14:paraId="21DD3FD6" w14:textId="77777777" w:rsidR="0038318F" w:rsidRDefault="0038318F" w:rsidP="00B13F3C">
            <w:pPr>
              <w:pStyle w:val="BodyTextSP"/>
              <w:rPr>
                <w:rFonts w:asciiTheme="minorHAnsi" w:hAnsiTheme="minorHAnsi" w:cstheme="minorHAnsi"/>
                <w:sz w:val="21"/>
                <w:szCs w:val="21"/>
              </w:rPr>
            </w:pPr>
            <w:r>
              <w:rPr>
                <w:rFonts w:asciiTheme="minorHAnsi" w:hAnsiTheme="minorHAnsi" w:cstheme="minorHAnsi"/>
                <w:sz w:val="21"/>
                <w:szCs w:val="21"/>
              </w:rPr>
              <w:t>Individual Placement and Support</w:t>
            </w:r>
          </w:p>
        </w:tc>
      </w:tr>
      <w:tr w:rsidR="0038318F" w:rsidRPr="00B264A7" w14:paraId="5F0A0177" w14:textId="77777777" w:rsidTr="00B13F3C">
        <w:tc>
          <w:tcPr>
            <w:tcW w:w="1838" w:type="dxa"/>
          </w:tcPr>
          <w:p w14:paraId="0F8555DF" w14:textId="77777777" w:rsidR="0038318F" w:rsidRDefault="0038318F" w:rsidP="00B13F3C">
            <w:pPr>
              <w:pStyle w:val="BodyTextSP"/>
              <w:rPr>
                <w:rFonts w:asciiTheme="minorHAnsi" w:hAnsiTheme="minorHAnsi" w:cstheme="minorHAnsi"/>
                <w:sz w:val="21"/>
                <w:szCs w:val="21"/>
              </w:rPr>
            </w:pPr>
            <w:r>
              <w:rPr>
                <w:rFonts w:asciiTheme="minorHAnsi" w:hAnsiTheme="minorHAnsi" w:cstheme="minorHAnsi"/>
                <w:sz w:val="21"/>
                <w:szCs w:val="21"/>
              </w:rPr>
              <w:t>NDCO</w:t>
            </w:r>
          </w:p>
        </w:tc>
        <w:tc>
          <w:tcPr>
            <w:tcW w:w="8133" w:type="dxa"/>
          </w:tcPr>
          <w:p w14:paraId="093C07F5" w14:textId="77777777" w:rsidR="0038318F" w:rsidRDefault="0038318F" w:rsidP="00B13F3C">
            <w:pPr>
              <w:pStyle w:val="BodyTextSP"/>
              <w:rPr>
                <w:rFonts w:asciiTheme="minorHAnsi" w:hAnsiTheme="minorHAnsi" w:cstheme="minorHAnsi"/>
                <w:sz w:val="21"/>
                <w:szCs w:val="21"/>
              </w:rPr>
            </w:pPr>
            <w:r>
              <w:rPr>
                <w:rFonts w:asciiTheme="minorHAnsi" w:hAnsiTheme="minorHAnsi" w:cstheme="minorHAnsi"/>
                <w:sz w:val="21"/>
                <w:szCs w:val="21"/>
              </w:rPr>
              <w:t>National Disability Coordination Officer (program)</w:t>
            </w:r>
          </w:p>
        </w:tc>
      </w:tr>
      <w:tr w:rsidR="0038318F" w:rsidRPr="00B264A7" w14:paraId="213A3F73" w14:textId="77777777" w:rsidTr="00B13F3C">
        <w:tc>
          <w:tcPr>
            <w:tcW w:w="1838" w:type="dxa"/>
          </w:tcPr>
          <w:p w14:paraId="1DE72CAA" w14:textId="77777777" w:rsidR="0038318F" w:rsidRPr="00B264A7" w:rsidRDefault="0038318F" w:rsidP="00B13F3C">
            <w:pPr>
              <w:pStyle w:val="BodyTextSP"/>
              <w:rPr>
                <w:rFonts w:asciiTheme="minorHAnsi" w:hAnsiTheme="minorHAnsi" w:cstheme="minorHAnsi"/>
                <w:sz w:val="21"/>
                <w:szCs w:val="21"/>
              </w:rPr>
            </w:pPr>
            <w:r>
              <w:rPr>
                <w:rFonts w:asciiTheme="minorHAnsi" w:hAnsiTheme="minorHAnsi" w:cstheme="minorHAnsi"/>
                <w:sz w:val="21"/>
                <w:szCs w:val="21"/>
              </w:rPr>
              <w:t>NDIA</w:t>
            </w:r>
          </w:p>
        </w:tc>
        <w:tc>
          <w:tcPr>
            <w:tcW w:w="8133" w:type="dxa"/>
          </w:tcPr>
          <w:p w14:paraId="48A947F4" w14:textId="77777777" w:rsidR="0038318F" w:rsidRPr="00B264A7" w:rsidRDefault="0038318F" w:rsidP="00B13F3C">
            <w:pPr>
              <w:pStyle w:val="BodyTextSP"/>
              <w:rPr>
                <w:rFonts w:asciiTheme="minorHAnsi" w:hAnsiTheme="minorHAnsi" w:cstheme="minorHAnsi"/>
                <w:sz w:val="21"/>
                <w:szCs w:val="21"/>
              </w:rPr>
            </w:pPr>
            <w:r>
              <w:rPr>
                <w:rFonts w:asciiTheme="minorHAnsi" w:hAnsiTheme="minorHAnsi" w:cstheme="minorHAnsi"/>
                <w:sz w:val="21"/>
                <w:szCs w:val="21"/>
              </w:rPr>
              <w:t>National Disability Insurance Agency</w:t>
            </w:r>
          </w:p>
        </w:tc>
      </w:tr>
      <w:tr w:rsidR="0038318F" w:rsidRPr="00B264A7" w14:paraId="051F09F9" w14:textId="77777777" w:rsidTr="00B13F3C">
        <w:tc>
          <w:tcPr>
            <w:tcW w:w="1838" w:type="dxa"/>
          </w:tcPr>
          <w:p w14:paraId="52A0D027" w14:textId="77777777" w:rsidR="0038318F" w:rsidRPr="00B264A7" w:rsidRDefault="0038318F" w:rsidP="00B13F3C">
            <w:pPr>
              <w:pStyle w:val="BodyTextSP"/>
              <w:rPr>
                <w:rFonts w:asciiTheme="minorHAnsi" w:hAnsiTheme="minorHAnsi" w:cstheme="minorHAnsi"/>
                <w:sz w:val="21"/>
                <w:szCs w:val="21"/>
              </w:rPr>
            </w:pPr>
            <w:r>
              <w:rPr>
                <w:rFonts w:asciiTheme="minorHAnsi" w:hAnsiTheme="minorHAnsi" w:cstheme="minorHAnsi"/>
                <w:sz w:val="21"/>
                <w:szCs w:val="21"/>
              </w:rPr>
              <w:t>NDIS</w:t>
            </w:r>
          </w:p>
        </w:tc>
        <w:tc>
          <w:tcPr>
            <w:tcW w:w="8133" w:type="dxa"/>
          </w:tcPr>
          <w:p w14:paraId="7E5E5CE7" w14:textId="77777777" w:rsidR="0038318F" w:rsidRPr="00B264A7" w:rsidRDefault="0038318F" w:rsidP="00B13F3C">
            <w:pPr>
              <w:pStyle w:val="BodyTextSP"/>
              <w:rPr>
                <w:rFonts w:asciiTheme="minorHAnsi" w:hAnsiTheme="minorHAnsi" w:cstheme="minorHAnsi"/>
                <w:sz w:val="21"/>
                <w:szCs w:val="21"/>
              </w:rPr>
            </w:pPr>
            <w:r>
              <w:rPr>
                <w:rFonts w:asciiTheme="minorHAnsi" w:hAnsiTheme="minorHAnsi" w:cstheme="minorHAnsi"/>
                <w:sz w:val="21"/>
                <w:szCs w:val="21"/>
              </w:rPr>
              <w:t>National Disability Insurance Scheme</w:t>
            </w:r>
          </w:p>
        </w:tc>
      </w:tr>
      <w:tr w:rsidR="0038318F" w:rsidRPr="00B264A7" w14:paraId="62EB6FB0" w14:textId="77777777" w:rsidTr="00B13F3C">
        <w:tc>
          <w:tcPr>
            <w:tcW w:w="1838" w:type="dxa"/>
          </w:tcPr>
          <w:p w14:paraId="12CE5945" w14:textId="77777777" w:rsidR="0038318F" w:rsidRDefault="0038318F" w:rsidP="00B13F3C">
            <w:pPr>
              <w:pStyle w:val="BodyTextSP"/>
              <w:rPr>
                <w:rFonts w:asciiTheme="minorHAnsi" w:hAnsiTheme="minorHAnsi" w:cstheme="minorHAnsi"/>
                <w:sz w:val="21"/>
                <w:szCs w:val="21"/>
              </w:rPr>
            </w:pPr>
            <w:r>
              <w:rPr>
                <w:rFonts w:asciiTheme="minorHAnsi" w:hAnsiTheme="minorHAnsi" w:cstheme="minorHAnsi"/>
                <w:sz w:val="21"/>
                <w:szCs w:val="21"/>
              </w:rPr>
              <w:t>OECD</w:t>
            </w:r>
          </w:p>
        </w:tc>
        <w:tc>
          <w:tcPr>
            <w:tcW w:w="8133" w:type="dxa"/>
          </w:tcPr>
          <w:p w14:paraId="11436E4E" w14:textId="77777777" w:rsidR="0038318F" w:rsidRDefault="0038318F" w:rsidP="00B13F3C">
            <w:pPr>
              <w:pStyle w:val="BodyTextSP"/>
              <w:rPr>
                <w:rFonts w:asciiTheme="minorHAnsi" w:hAnsiTheme="minorHAnsi" w:cstheme="minorHAnsi"/>
                <w:sz w:val="21"/>
                <w:szCs w:val="21"/>
              </w:rPr>
            </w:pPr>
            <w:proofErr w:type="spellStart"/>
            <w:r>
              <w:rPr>
                <w:rFonts w:asciiTheme="minorHAnsi" w:hAnsiTheme="minorHAnsi" w:cstheme="minorHAnsi"/>
                <w:sz w:val="21"/>
                <w:szCs w:val="21"/>
              </w:rPr>
              <w:t>Organisation</w:t>
            </w:r>
            <w:proofErr w:type="spellEnd"/>
            <w:r>
              <w:rPr>
                <w:rFonts w:asciiTheme="minorHAnsi" w:hAnsiTheme="minorHAnsi" w:cstheme="minorHAnsi"/>
                <w:sz w:val="21"/>
                <w:szCs w:val="21"/>
              </w:rPr>
              <w:t xml:space="preserve"> for Economic Co-operation and Development</w:t>
            </w:r>
          </w:p>
        </w:tc>
      </w:tr>
      <w:tr w:rsidR="0038318F" w:rsidRPr="00B264A7" w14:paraId="2C6BF7F2" w14:textId="77777777" w:rsidTr="00B13F3C">
        <w:tc>
          <w:tcPr>
            <w:tcW w:w="1838" w:type="dxa"/>
          </w:tcPr>
          <w:p w14:paraId="7D28AC78" w14:textId="77777777" w:rsidR="0038318F" w:rsidRDefault="0038318F" w:rsidP="00B13F3C">
            <w:pPr>
              <w:pStyle w:val="BodyTextSP"/>
              <w:rPr>
                <w:rFonts w:asciiTheme="minorHAnsi" w:hAnsiTheme="minorHAnsi" w:cstheme="minorHAnsi"/>
                <w:sz w:val="21"/>
                <w:szCs w:val="21"/>
              </w:rPr>
            </w:pPr>
            <w:proofErr w:type="spellStart"/>
            <w:r>
              <w:rPr>
                <w:rFonts w:asciiTheme="minorHAnsi" w:hAnsiTheme="minorHAnsi" w:cstheme="minorHAnsi"/>
                <w:sz w:val="21"/>
                <w:szCs w:val="21"/>
              </w:rPr>
              <w:t>PwD</w:t>
            </w:r>
            <w:proofErr w:type="spellEnd"/>
          </w:p>
        </w:tc>
        <w:tc>
          <w:tcPr>
            <w:tcW w:w="8133" w:type="dxa"/>
          </w:tcPr>
          <w:p w14:paraId="1C6D6943" w14:textId="77777777" w:rsidR="0038318F" w:rsidRDefault="0038318F" w:rsidP="00B13F3C">
            <w:pPr>
              <w:pStyle w:val="BodyTextSP"/>
              <w:rPr>
                <w:rFonts w:asciiTheme="minorHAnsi" w:hAnsiTheme="minorHAnsi" w:cstheme="minorHAnsi"/>
                <w:sz w:val="21"/>
                <w:szCs w:val="21"/>
              </w:rPr>
            </w:pPr>
            <w:r>
              <w:rPr>
                <w:rFonts w:asciiTheme="minorHAnsi" w:hAnsiTheme="minorHAnsi" w:cstheme="minorHAnsi"/>
                <w:sz w:val="21"/>
                <w:szCs w:val="21"/>
              </w:rPr>
              <w:t>People with disability</w:t>
            </w:r>
          </w:p>
        </w:tc>
      </w:tr>
      <w:tr w:rsidR="0038318F" w:rsidRPr="00B264A7" w14:paraId="5DCF4ADC" w14:textId="77777777" w:rsidTr="00B13F3C">
        <w:tc>
          <w:tcPr>
            <w:tcW w:w="1838" w:type="dxa"/>
          </w:tcPr>
          <w:p w14:paraId="4513D921" w14:textId="77777777" w:rsidR="0038318F" w:rsidRDefault="0038318F" w:rsidP="00B13F3C">
            <w:pPr>
              <w:pStyle w:val="BodyTextSP"/>
              <w:rPr>
                <w:rFonts w:asciiTheme="minorHAnsi" w:hAnsiTheme="minorHAnsi" w:cstheme="minorHAnsi"/>
                <w:sz w:val="21"/>
                <w:szCs w:val="21"/>
              </w:rPr>
            </w:pPr>
            <w:r>
              <w:rPr>
                <w:rFonts w:asciiTheme="minorHAnsi" w:hAnsiTheme="minorHAnsi" w:cstheme="minorHAnsi"/>
                <w:sz w:val="21"/>
                <w:szCs w:val="21"/>
              </w:rPr>
              <w:t>TAFE</w:t>
            </w:r>
          </w:p>
        </w:tc>
        <w:tc>
          <w:tcPr>
            <w:tcW w:w="8133" w:type="dxa"/>
          </w:tcPr>
          <w:p w14:paraId="257D9524" w14:textId="77777777" w:rsidR="0038318F" w:rsidRDefault="0038318F" w:rsidP="00B13F3C">
            <w:pPr>
              <w:pStyle w:val="BodyTextSP"/>
              <w:rPr>
                <w:rFonts w:asciiTheme="minorHAnsi" w:hAnsiTheme="minorHAnsi" w:cstheme="minorHAnsi"/>
                <w:sz w:val="21"/>
                <w:szCs w:val="21"/>
              </w:rPr>
            </w:pPr>
            <w:r>
              <w:rPr>
                <w:rFonts w:asciiTheme="minorHAnsi" w:hAnsiTheme="minorHAnsi" w:cstheme="minorHAnsi"/>
                <w:sz w:val="21"/>
                <w:szCs w:val="21"/>
              </w:rPr>
              <w:t>Technical and Further Education</w:t>
            </w:r>
          </w:p>
        </w:tc>
      </w:tr>
      <w:tr w:rsidR="0038318F" w:rsidRPr="00B264A7" w14:paraId="2216AA37" w14:textId="77777777" w:rsidTr="00B13F3C">
        <w:tc>
          <w:tcPr>
            <w:tcW w:w="1838" w:type="dxa"/>
          </w:tcPr>
          <w:p w14:paraId="7477D061" w14:textId="77777777" w:rsidR="0038318F" w:rsidRDefault="0038318F" w:rsidP="00B13F3C">
            <w:pPr>
              <w:pStyle w:val="BodyTextSP"/>
              <w:rPr>
                <w:rFonts w:asciiTheme="minorHAnsi" w:hAnsiTheme="minorHAnsi" w:cstheme="minorHAnsi"/>
                <w:sz w:val="21"/>
                <w:szCs w:val="21"/>
              </w:rPr>
            </w:pPr>
            <w:r>
              <w:rPr>
                <w:rFonts w:asciiTheme="minorHAnsi" w:hAnsiTheme="minorHAnsi" w:cstheme="minorHAnsi"/>
                <w:sz w:val="21"/>
                <w:szCs w:val="21"/>
              </w:rPr>
              <w:t>UK</w:t>
            </w:r>
          </w:p>
        </w:tc>
        <w:tc>
          <w:tcPr>
            <w:tcW w:w="8133" w:type="dxa"/>
          </w:tcPr>
          <w:p w14:paraId="3382201C" w14:textId="77777777" w:rsidR="0038318F" w:rsidRDefault="0038318F" w:rsidP="00B13F3C">
            <w:pPr>
              <w:pStyle w:val="BodyTextSP"/>
              <w:rPr>
                <w:rFonts w:asciiTheme="minorHAnsi" w:hAnsiTheme="minorHAnsi" w:cstheme="minorHAnsi"/>
                <w:sz w:val="21"/>
                <w:szCs w:val="21"/>
              </w:rPr>
            </w:pPr>
            <w:r>
              <w:rPr>
                <w:rFonts w:asciiTheme="minorHAnsi" w:hAnsiTheme="minorHAnsi" w:cstheme="minorHAnsi"/>
                <w:sz w:val="21"/>
                <w:szCs w:val="21"/>
              </w:rPr>
              <w:t>United Kingdom</w:t>
            </w:r>
          </w:p>
        </w:tc>
      </w:tr>
      <w:tr w:rsidR="0038318F" w:rsidRPr="00B264A7" w14:paraId="52526ACB" w14:textId="77777777" w:rsidTr="00B13F3C">
        <w:tc>
          <w:tcPr>
            <w:tcW w:w="1838" w:type="dxa"/>
          </w:tcPr>
          <w:p w14:paraId="5A8CC3DD" w14:textId="77777777" w:rsidR="0038318F" w:rsidRDefault="0038318F" w:rsidP="00B13F3C">
            <w:pPr>
              <w:pStyle w:val="BodyTextSP"/>
              <w:rPr>
                <w:rFonts w:asciiTheme="minorHAnsi" w:hAnsiTheme="minorHAnsi" w:cstheme="minorHAnsi"/>
                <w:sz w:val="21"/>
                <w:szCs w:val="21"/>
              </w:rPr>
            </w:pPr>
            <w:r>
              <w:rPr>
                <w:rFonts w:asciiTheme="minorHAnsi" w:hAnsiTheme="minorHAnsi" w:cstheme="minorHAnsi"/>
                <w:sz w:val="21"/>
                <w:szCs w:val="21"/>
              </w:rPr>
              <w:t>UN</w:t>
            </w:r>
          </w:p>
        </w:tc>
        <w:tc>
          <w:tcPr>
            <w:tcW w:w="8133" w:type="dxa"/>
          </w:tcPr>
          <w:p w14:paraId="6542E4DA" w14:textId="77777777" w:rsidR="0038318F" w:rsidRDefault="0038318F" w:rsidP="00B13F3C">
            <w:pPr>
              <w:pStyle w:val="BodyTextSP"/>
              <w:rPr>
                <w:rFonts w:asciiTheme="minorHAnsi" w:hAnsiTheme="minorHAnsi" w:cstheme="minorHAnsi"/>
                <w:sz w:val="21"/>
                <w:szCs w:val="21"/>
              </w:rPr>
            </w:pPr>
            <w:r>
              <w:rPr>
                <w:rFonts w:asciiTheme="minorHAnsi" w:hAnsiTheme="minorHAnsi" w:cstheme="minorHAnsi"/>
                <w:sz w:val="21"/>
                <w:szCs w:val="21"/>
              </w:rPr>
              <w:t>United Nations</w:t>
            </w:r>
          </w:p>
        </w:tc>
      </w:tr>
      <w:tr w:rsidR="0038318F" w:rsidRPr="00B264A7" w14:paraId="236940D5" w14:textId="77777777" w:rsidTr="00B13F3C">
        <w:tc>
          <w:tcPr>
            <w:tcW w:w="1838" w:type="dxa"/>
          </w:tcPr>
          <w:p w14:paraId="3ED7C14B" w14:textId="77777777" w:rsidR="0038318F" w:rsidRDefault="0038318F" w:rsidP="00B13F3C">
            <w:pPr>
              <w:pStyle w:val="BodyTextSP"/>
              <w:rPr>
                <w:rFonts w:asciiTheme="minorHAnsi" w:hAnsiTheme="minorHAnsi" w:cstheme="minorHAnsi"/>
                <w:sz w:val="21"/>
                <w:szCs w:val="21"/>
              </w:rPr>
            </w:pPr>
            <w:r>
              <w:rPr>
                <w:rFonts w:asciiTheme="minorHAnsi" w:hAnsiTheme="minorHAnsi" w:cstheme="minorHAnsi"/>
                <w:sz w:val="21"/>
                <w:szCs w:val="21"/>
              </w:rPr>
              <w:t>UNCRPD</w:t>
            </w:r>
          </w:p>
        </w:tc>
        <w:tc>
          <w:tcPr>
            <w:tcW w:w="8133" w:type="dxa"/>
          </w:tcPr>
          <w:p w14:paraId="761F2206" w14:textId="77777777" w:rsidR="0038318F" w:rsidRDefault="0038318F" w:rsidP="00B13F3C">
            <w:pPr>
              <w:pStyle w:val="BodyTextSP"/>
              <w:rPr>
                <w:rFonts w:asciiTheme="minorHAnsi" w:hAnsiTheme="minorHAnsi" w:cstheme="minorHAnsi"/>
                <w:sz w:val="21"/>
                <w:szCs w:val="21"/>
              </w:rPr>
            </w:pPr>
            <w:r>
              <w:rPr>
                <w:rFonts w:asciiTheme="minorHAnsi" w:hAnsiTheme="minorHAnsi" w:cstheme="minorHAnsi"/>
                <w:sz w:val="21"/>
                <w:szCs w:val="21"/>
              </w:rPr>
              <w:t>United Nations Convention on the Rights of Persons with Disabilities</w:t>
            </w:r>
          </w:p>
        </w:tc>
      </w:tr>
      <w:tr w:rsidR="0038318F" w:rsidRPr="00B264A7" w14:paraId="6C5E589E" w14:textId="77777777" w:rsidTr="00B13F3C">
        <w:tc>
          <w:tcPr>
            <w:tcW w:w="1838" w:type="dxa"/>
          </w:tcPr>
          <w:p w14:paraId="17E90093" w14:textId="77777777" w:rsidR="0038318F" w:rsidRDefault="0038318F" w:rsidP="00B13F3C">
            <w:pPr>
              <w:pStyle w:val="BodyTextSP"/>
              <w:rPr>
                <w:rFonts w:asciiTheme="minorHAnsi" w:hAnsiTheme="minorHAnsi" w:cstheme="minorHAnsi"/>
                <w:sz w:val="21"/>
                <w:szCs w:val="21"/>
              </w:rPr>
            </w:pPr>
            <w:r>
              <w:rPr>
                <w:rFonts w:asciiTheme="minorHAnsi" w:hAnsiTheme="minorHAnsi" w:cstheme="minorHAnsi"/>
                <w:sz w:val="21"/>
                <w:szCs w:val="21"/>
              </w:rPr>
              <w:t>US / USA</w:t>
            </w:r>
          </w:p>
        </w:tc>
        <w:tc>
          <w:tcPr>
            <w:tcW w:w="8133" w:type="dxa"/>
          </w:tcPr>
          <w:p w14:paraId="60C7CF08" w14:textId="77777777" w:rsidR="0038318F" w:rsidRDefault="0038318F" w:rsidP="00B13F3C">
            <w:pPr>
              <w:pStyle w:val="BodyTextSP"/>
              <w:rPr>
                <w:rFonts w:asciiTheme="minorHAnsi" w:hAnsiTheme="minorHAnsi" w:cstheme="minorHAnsi"/>
                <w:sz w:val="21"/>
                <w:szCs w:val="21"/>
              </w:rPr>
            </w:pPr>
            <w:r>
              <w:rPr>
                <w:rFonts w:asciiTheme="minorHAnsi" w:hAnsiTheme="minorHAnsi" w:cstheme="minorHAnsi"/>
                <w:sz w:val="21"/>
                <w:szCs w:val="21"/>
              </w:rPr>
              <w:t>United States (of America)</w:t>
            </w:r>
          </w:p>
        </w:tc>
      </w:tr>
      <w:tr w:rsidR="0038318F" w:rsidRPr="00B264A7" w14:paraId="5B3C7577" w14:textId="77777777" w:rsidTr="00B13F3C">
        <w:tc>
          <w:tcPr>
            <w:tcW w:w="1838" w:type="dxa"/>
          </w:tcPr>
          <w:p w14:paraId="7A7AA91F" w14:textId="77777777" w:rsidR="0038318F" w:rsidRDefault="0038318F" w:rsidP="00B13F3C">
            <w:pPr>
              <w:pStyle w:val="BodyTextSP"/>
              <w:rPr>
                <w:rFonts w:asciiTheme="minorHAnsi" w:hAnsiTheme="minorHAnsi" w:cstheme="minorHAnsi"/>
                <w:sz w:val="21"/>
                <w:szCs w:val="21"/>
              </w:rPr>
            </w:pPr>
            <w:r>
              <w:rPr>
                <w:rFonts w:asciiTheme="minorHAnsi" w:hAnsiTheme="minorHAnsi" w:cstheme="minorHAnsi"/>
                <w:sz w:val="21"/>
                <w:szCs w:val="21"/>
              </w:rPr>
              <w:t>VET</w:t>
            </w:r>
          </w:p>
        </w:tc>
        <w:tc>
          <w:tcPr>
            <w:tcW w:w="8133" w:type="dxa"/>
          </w:tcPr>
          <w:p w14:paraId="4EB6F0B0" w14:textId="77777777" w:rsidR="0038318F" w:rsidRDefault="0038318F" w:rsidP="00B13F3C">
            <w:pPr>
              <w:pStyle w:val="BodyTextSP"/>
              <w:rPr>
                <w:rFonts w:asciiTheme="minorHAnsi" w:hAnsiTheme="minorHAnsi" w:cstheme="minorHAnsi"/>
                <w:sz w:val="21"/>
                <w:szCs w:val="21"/>
              </w:rPr>
            </w:pPr>
            <w:r>
              <w:rPr>
                <w:rFonts w:asciiTheme="minorHAnsi" w:hAnsiTheme="minorHAnsi" w:cstheme="minorHAnsi"/>
                <w:sz w:val="21"/>
                <w:szCs w:val="21"/>
              </w:rPr>
              <w:t>Vocational Education and Training</w:t>
            </w:r>
          </w:p>
        </w:tc>
      </w:tr>
      <w:tr w:rsidR="0038318F" w:rsidRPr="00B264A7" w14:paraId="5684A41E" w14:textId="77777777" w:rsidTr="00B13F3C">
        <w:tc>
          <w:tcPr>
            <w:tcW w:w="1838" w:type="dxa"/>
          </w:tcPr>
          <w:p w14:paraId="397334CA" w14:textId="77777777" w:rsidR="0038318F" w:rsidRDefault="0038318F" w:rsidP="00B13F3C">
            <w:pPr>
              <w:pStyle w:val="BodyTextSP"/>
              <w:rPr>
                <w:rFonts w:asciiTheme="minorHAnsi" w:hAnsiTheme="minorHAnsi" w:cstheme="minorHAnsi"/>
                <w:sz w:val="21"/>
                <w:szCs w:val="21"/>
              </w:rPr>
            </w:pPr>
            <w:proofErr w:type="spellStart"/>
            <w:r>
              <w:rPr>
                <w:rFonts w:asciiTheme="minorHAnsi" w:hAnsiTheme="minorHAnsi" w:cstheme="minorHAnsi"/>
                <w:sz w:val="21"/>
                <w:szCs w:val="21"/>
              </w:rPr>
              <w:t>VETis</w:t>
            </w:r>
            <w:proofErr w:type="spellEnd"/>
          </w:p>
        </w:tc>
        <w:tc>
          <w:tcPr>
            <w:tcW w:w="8133" w:type="dxa"/>
          </w:tcPr>
          <w:p w14:paraId="13BD0C11" w14:textId="77777777" w:rsidR="0038318F" w:rsidRDefault="0038318F" w:rsidP="00B13F3C">
            <w:pPr>
              <w:pStyle w:val="BodyTextSP"/>
              <w:rPr>
                <w:rFonts w:asciiTheme="minorHAnsi" w:hAnsiTheme="minorHAnsi" w:cstheme="minorHAnsi"/>
                <w:sz w:val="21"/>
                <w:szCs w:val="21"/>
              </w:rPr>
            </w:pPr>
            <w:r>
              <w:rPr>
                <w:rFonts w:asciiTheme="minorHAnsi" w:hAnsiTheme="minorHAnsi" w:cstheme="minorHAnsi"/>
                <w:sz w:val="21"/>
                <w:szCs w:val="21"/>
              </w:rPr>
              <w:t>Vocational Education and Training in Schools</w:t>
            </w:r>
          </w:p>
        </w:tc>
      </w:tr>
    </w:tbl>
    <w:p w14:paraId="7991DC9A" w14:textId="77777777" w:rsidR="009B174E" w:rsidRDefault="009B174E" w:rsidP="00CE427B">
      <w:pPr>
        <w:pStyle w:val="Heading1"/>
      </w:pPr>
    </w:p>
    <w:p w14:paraId="1D0D4B51" w14:textId="77777777" w:rsidR="009B174E" w:rsidRDefault="009B174E" w:rsidP="00CE427B">
      <w:pPr>
        <w:pStyle w:val="Heading1"/>
      </w:pPr>
      <w:r>
        <w:t>A note on terminology</w:t>
      </w:r>
    </w:p>
    <w:p w14:paraId="3CDDFD6F" w14:textId="4DB96ECB" w:rsidR="00B264A7" w:rsidRDefault="009B174E" w:rsidP="009B174E">
      <w:r>
        <w:t xml:space="preserve">Throughout this document the term </w:t>
      </w:r>
      <w:r w:rsidR="0088561D">
        <w:t>‘</w:t>
      </w:r>
      <w:r>
        <w:t>supported employment</w:t>
      </w:r>
      <w:r w:rsidR="0088561D">
        <w:t>’</w:t>
      </w:r>
      <w:r>
        <w:t xml:space="preserve"> has been used to denote a job or job search that has elements of support provided to people with disability. This captures a wide range of practices and programs and is consistent with terminology in the United States and internationally. In Australia, however, readers may be familiar with the term </w:t>
      </w:r>
      <w:r w:rsidR="0088561D">
        <w:t>‘</w:t>
      </w:r>
      <w:r>
        <w:t>supported employment</w:t>
      </w:r>
      <w:r w:rsidR="0088561D">
        <w:t>’</w:t>
      </w:r>
      <w:r>
        <w:t xml:space="preserve"> to mean employment within </w:t>
      </w:r>
      <w:r w:rsidR="0088561D">
        <w:t xml:space="preserve">what were formerly known as </w:t>
      </w:r>
      <w:r>
        <w:t>‘sheltered workshops</w:t>
      </w:r>
      <w:r w:rsidR="0088561D">
        <w:t>’</w:t>
      </w:r>
      <w:r>
        <w:t xml:space="preserve"> and other forms of congregate disability-specific employment</w:t>
      </w:r>
      <w:r w:rsidR="0088561D">
        <w:t xml:space="preserve">, now largely encompassed by Australian Disability Enterprises (ADEs). </w:t>
      </w:r>
      <w:r>
        <w:t xml:space="preserve"> </w:t>
      </w:r>
      <w:r w:rsidR="0088561D">
        <w:t>The</w:t>
      </w:r>
      <w:r>
        <w:t xml:space="preserve"> Commonwealth government </w:t>
      </w:r>
      <w:r w:rsidR="0088561D">
        <w:t>introduced</w:t>
      </w:r>
      <w:r>
        <w:t xml:space="preserve"> the term in this way </w:t>
      </w:r>
      <w:r w:rsidR="0088561D">
        <w:t>in</w:t>
      </w:r>
      <w:r>
        <w:t xml:space="preserve"> 1987 as part of the then Commonwealth Disability Services Program. </w:t>
      </w:r>
      <w:r w:rsidR="0088561D">
        <w:t>This is not the meaning of ‘supported employment’ adopted within this document.</w:t>
      </w:r>
    </w:p>
    <w:p w14:paraId="24D71906" w14:textId="34BCC929" w:rsidR="008E046C" w:rsidRPr="00EE6105" w:rsidRDefault="008F341F" w:rsidP="00CE427B">
      <w:pPr>
        <w:pStyle w:val="Heading1"/>
      </w:pPr>
      <w:bookmarkStart w:id="23" w:name="_Toc49462451"/>
      <w:r>
        <w:lastRenderedPageBreak/>
        <w:t>B</w:t>
      </w:r>
      <w:r w:rsidR="00EE6105" w:rsidRPr="00EE6105">
        <w:t>ackground</w:t>
      </w:r>
      <w:bookmarkEnd w:id="23"/>
    </w:p>
    <w:p w14:paraId="641141C7" w14:textId="0C8C3A7B" w:rsidR="00B96282" w:rsidRPr="00B16DF8" w:rsidRDefault="00410869" w:rsidP="00B16DF8">
      <w:pPr>
        <w:pStyle w:val="Heading2"/>
        <w:rPr>
          <w:rFonts w:eastAsia="Calibri"/>
        </w:rPr>
      </w:pPr>
      <w:bookmarkStart w:id="24" w:name="_Toc49417864"/>
      <w:bookmarkStart w:id="25" w:name="_Toc49419933"/>
      <w:r w:rsidRPr="00B16DF8">
        <w:rPr>
          <w:rFonts w:eastAsia="Calibri"/>
        </w:rPr>
        <w:t>Inclusion Australia</w:t>
      </w:r>
      <w:bookmarkEnd w:id="24"/>
      <w:bookmarkEnd w:id="25"/>
    </w:p>
    <w:p w14:paraId="4663A10C" w14:textId="772633AE" w:rsidR="008872CC" w:rsidRPr="008872CC" w:rsidRDefault="00EE6105" w:rsidP="00811AD6">
      <w:pPr>
        <w:snapToGrid w:val="0"/>
        <w:spacing w:line="276" w:lineRule="auto"/>
        <w:rPr>
          <w:rFonts w:asciiTheme="minorHAnsi" w:eastAsia="Calibri" w:hAnsiTheme="minorHAnsi" w:cstheme="minorHAnsi"/>
          <w:szCs w:val="21"/>
        </w:rPr>
      </w:pPr>
      <w:r w:rsidRPr="00B96282">
        <w:rPr>
          <w:rFonts w:asciiTheme="minorHAnsi" w:eastAsia="Calibri" w:hAnsiTheme="minorHAnsi" w:cs="Calibri"/>
          <w:szCs w:val="21"/>
        </w:rPr>
        <w:t xml:space="preserve">Inclusion Australia is the national voice for people with intellectual disability, bringing together diverse state </w:t>
      </w:r>
      <w:r w:rsidRPr="00B96282">
        <w:rPr>
          <w:rFonts w:asciiTheme="minorHAnsi" w:eastAsia="Calibri" w:hAnsiTheme="minorHAnsi" w:cstheme="minorHAnsi"/>
          <w:szCs w:val="21"/>
        </w:rPr>
        <w:t xml:space="preserve">members </w:t>
      </w:r>
      <w:r w:rsidR="00B96282" w:rsidRPr="00B96282">
        <w:rPr>
          <w:rFonts w:asciiTheme="minorHAnsi" w:eastAsia="Calibri" w:hAnsiTheme="minorHAnsi" w:cstheme="minorHAnsi"/>
          <w:szCs w:val="21"/>
        </w:rPr>
        <w:t>who are connected to people with intellectual disability and who are committed to the shared vision of inclusion in all aspects of Australian life.</w:t>
      </w:r>
    </w:p>
    <w:p w14:paraId="1A5192DF" w14:textId="30FD5C68" w:rsidR="00EE6105" w:rsidRPr="00B16DF8" w:rsidRDefault="00410869" w:rsidP="00B16DF8">
      <w:pPr>
        <w:pStyle w:val="Heading2"/>
        <w:rPr>
          <w:rFonts w:eastAsia="Calibri"/>
        </w:rPr>
      </w:pPr>
      <w:bookmarkStart w:id="26" w:name="_Toc49417865"/>
      <w:bookmarkStart w:id="27" w:name="_Toc49419934"/>
      <w:r w:rsidRPr="00B16DF8">
        <w:rPr>
          <w:rFonts w:eastAsia="Calibri"/>
        </w:rPr>
        <w:t>Project need</w:t>
      </w:r>
      <w:bookmarkEnd w:id="26"/>
      <w:bookmarkEnd w:id="27"/>
    </w:p>
    <w:p w14:paraId="731E2F19" w14:textId="75E6EFE4" w:rsidR="00B96282" w:rsidRPr="00410869" w:rsidRDefault="00B9650D" w:rsidP="00811AD6">
      <w:pPr>
        <w:pStyle w:val="paragraph"/>
        <w:snapToGrid w:val="0"/>
        <w:spacing w:before="120" w:beforeAutospacing="0" w:after="0" w:afterAutospacing="0" w:line="276" w:lineRule="auto"/>
        <w:textAlignment w:val="baseline"/>
        <w:rPr>
          <w:rFonts w:asciiTheme="minorHAnsi" w:hAnsiTheme="minorHAnsi" w:cstheme="minorHAnsi"/>
          <w:sz w:val="21"/>
          <w:szCs w:val="21"/>
        </w:rPr>
      </w:pPr>
      <w:r>
        <w:rPr>
          <w:rStyle w:val="normaltextrun"/>
          <w:rFonts w:asciiTheme="minorHAnsi" w:hAnsiTheme="minorHAnsi" w:cstheme="minorHAnsi"/>
          <w:sz w:val="21"/>
          <w:szCs w:val="21"/>
          <w:lang w:val="en-US"/>
        </w:rPr>
        <w:t xml:space="preserve">Based on the evidence and on their networks, Inclusion Australia </w:t>
      </w:r>
      <w:r w:rsidR="008872CC">
        <w:rPr>
          <w:rStyle w:val="normaltextrun"/>
          <w:rFonts w:asciiTheme="minorHAnsi" w:hAnsiTheme="minorHAnsi" w:cstheme="minorHAnsi"/>
          <w:sz w:val="21"/>
          <w:szCs w:val="21"/>
          <w:lang w:val="en-US"/>
        </w:rPr>
        <w:t xml:space="preserve">report </w:t>
      </w:r>
      <w:r>
        <w:rPr>
          <w:rStyle w:val="normaltextrun"/>
          <w:rFonts w:asciiTheme="minorHAnsi" w:hAnsiTheme="minorHAnsi" w:cstheme="minorHAnsi"/>
          <w:sz w:val="21"/>
          <w:szCs w:val="21"/>
          <w:lang w:val="en-US"/>
        </w:rPr>
        <w:t>that f</w:t>
      </w:r>
      <w:r w:rsidR="00B96282" w:rsidRPr="00410869">
        <w:rPr>
          <w:rStyle w:val="normaltextrun"/>
          <w:rFonts w:asciiTheme="minorHAnsi" w:hAnsiTheme="minorHAnsi" w:cstheme="minorHAnsi"/>
          <w:sz w:val="21"/>
          <w:szCs w:val="21"/>
          <w:lang w:val="en-US"/>
        </w:rPr>
        <w:t>or people with intellectual disability the path to open employment is not easy. Most do not look for open employment. Instead, they often go into non-work settings like day programs.</w:t>
      </w:r>
      <w:r w:rsidR="00B96282" w:rsidRPr="00410869">
        <w:rPr>
          <w:rStyle w:val="eop"/>
          <w:rFonts w:asciiTheme="minorHAnsi" w:hAnsiTheme="minorHAnsi" w:cstheme="minorHAnsi"/>
          <w:sz w:val="21"/>
          <w:szCs w:val="21"/>
        </w:rPr>
        <w:t> </w:t>
      </w:r>
    </w:p>
    <w:p w14:paraId="6801B5A9" w14:textId="2D408C27" w:rsidR="00B96282" w:rsidRPr="00410869" w:rsidRDefault="00B96282" w:rsidP="00811AD6">
      <w:pPr>
        <w:pStyle w:val="paragraph"/>
        <w:snapToGrid w:val="0"/>
        <w:spacing w:before="120" w:beforeAutospacing="0" w:after="0" w:afterAutospacing="0" w:line="276" w:lineRule="auto"/>
        <w:textAlignment w:val="baseline"/>
        <w:rPr>
          <w:rFonts w:asciiTheme="minorHAnsi" w:eastAsia="Calibri" w:hAnsiTheme="minorHAnsi" w:cstheme="minorHAnsi"/>
          <w:color w:val="000000" w:themeColor="text1"/>
          <w:sz w:val="21"/>
          <w:szCs w:val="21"/>
        </w:rPr>
      </w:pPr>
      <w:r w:rsidRPr="00410869">
        <w:rPr>
          <w:rStyle w:val="normaltextrun"/>
          <w:rFonts w:asciiTheme="minorHAnsi" w:hAnsiTheme="minorHAnsi" w:cstheme="minorHAnsi"/>
          <w:sz w:val="21"/>
          <w:szCs w:val="21"/>
          <w:lang w:val="en-US"/>
        </w:rPr>
        <w:t>The decision about whether someone with intellectual disability attempts to find open employment is critical. Families </w:t>
      </w:r>
      <w:r w:rsidR="00B9650D">
        <w:rPr>
          <w:rStyle w:val="normaltextrun"/>
          <w:rFonts w:asciiTheme="minorHAnsi" w:hAnsiTheme="minorHAnsi" w:cstheme="minorHAnsi"/>
          <w:sz w:val="21"/>
          <w:szCs w:val="21"/>
          <w:lang w:val="en-US"/>
        </w:rPr>
        <w:t>are seen to</w:t>
      </w:r>
      <w:r w:rsidRPr="00410869">
        <w:rPr>
          <w:rStyle w:val="normaltextrun"/>
          <w:rFonts w:asciiTheme="minorHAnsi" w:hAnsiTheme="minorHAnsi" w:cstheme="minorHAnsi"/>
          <w:sz w:val="21"/>
          <w:szCs w:val="21"/>
          <w:lang w:val="en-US"/>
        </w:rPr>
        <w:t> play a very important role in making this decision for </w:t>
      </w:r>
      <w:r w:rsidR="00B264A7">
        <w:rPr>
          <w:rStyle w:val="normaltextrun"/>
          <w:rFonts w:asciiTheme="minorHAnsi" w:hAnsiTheme="minorHAnsi" w:cstheme="minorHAnsi"/>
          <w:sz w:val="21"/>
          <w:szCs w:val="21"/>
          <w:lang w:val="en-US"/>
        </w:rPr>
        <w:t xml:space="preserve">or with </w:t>
      </w:r>
      <w:r w:rsidRPr="00410869">
        <w:rPr>
          <w:rStyle w:val="normaltextrun"/>
          <w:rFonts w:asciiTheme="minorHAnsi" w:hAnsiTheme="minorHAnsi" w:cstheme="minorHAnsi"/>
          <w:sz w:val="21"/>
          <w:szCs w:val="21"/>
          <w:lang w:val="en-US"/>
        </w:rPr>
        <w:t xml:space="preserve">people with intellectual disability. However, </w:t>
      </w:r>
      <w:r w:rsidRPr="00410869">
        <w:rPr>
          <w:rFonts w:asciiTheme="minorHAnsi" w:eastAsia="Calibri" w:hAnsiTheme="minorHAnsi" w:cstheme="minorHAnsi"/>
          <w:color w:val="000000" w:themeColor="text1"/>
          <w:sz w:val="21"/>
          <w:szCs w:val="21"/>
        </w:rPr>
        <w:t xml:space="preserve">information about why open employment is important </w:t>
      </w:r>
      <w:r w:rsidR="00B264A7">
        <w:rPr>
          <w:rFonts w:asciiTheme="minorHAnsi" w:eastAsia="Calibri" w:hAnsiTheme="minorHAnsi" w:cstheme="minorHAnsi"/>
          <w:color w:val="000000" w:themeColor="text1"/>
          <w:sz w:val="21"/>
          <w:szCs w:val="21"/>
        </w:rPr>
        <w:t>to people with intellectual disability</w:t>
      </w:r>
      <w:r w:rsidRPr="00410869">
        <w:rPr>
          <w:rFonts w:asciiTheme="minorHAnsi" w:eastAsia="Calibri" w:hAnsiTheme="minorHAnsi" w:cstheme="minorHAnsi"/>
          <w:color w:val="000000" w:themeColor="text1"/>
          <w:sz w:val="21"/>
          <w:szCs w:val="21"/>
        </w:rPr>
        <w:t xml:space="preserve"> or how to navigate the intersecting systems that would facilitate this is not easy to access.</w:t>
      </w:r>
    </w:p>
    <w:p w14:paraId="24A2FDAC" w14:textId="043C1273" w:rsidR="00B96282" w:rsidRPr="00410869" w:rsidRDefault="008872CC" w:rsidP="00811AD6">
      <w:pPr>
        <w:pStyle w:val="paragraph"/>
        <w:snapToGrid w:val="0"/>
        <w:spacing w:before="120" w:beforeAutospacing="0" w:after="0" w:afterAutospacing="0" w:line="276" w:lineRule="auto"/>
        <w:textAlignment w:val="baseline"/>
        <w:rPr>
          <w:rFonts w:asciiTheme="minorHAnsi" w:eastAsia="Calibri" w:hAnsiTheme="minorHAnsi" w:cstheme="minorHAnsi"/>
          <w:color w:val="000000" w:themeColor="text1"/>
          <w:sz w:val="21"/>
          <w:szCs w:val="21"/>
        </w:rPr>
      </w:pPr>
      <w:r>
        <w:rPr>
          <w:rFonts w:asciiTheme="minorHAnsi" w:eastAsia="Calibri" w:hAnsiTheme="minorHAnsi" w:cstheme="minorHAnsi"/>
          <w:color w:val="000000" w:themeColor="text1"/>
          <w:sz w:val="21"/>
          <w:szCs w:val="21"/>
        </w:rPr>
        <w:t xml:space="preserve">Parents have reported that </w:t>
      </w:r>
      <w:r w:rsidR="00B96282" w:rsidRPr="00410869">
        <w:rPr>
          <w:rFonts w:asciiTheme="minorHAnsi" w:eastAsia="Calibri" w:hAnsiTheme="minorHAnsi" w:cstheme="minorHAnsi"/>
          <w:color w:val="000000" w:themeColor="text1"/>
          <w:sz w:val="21"/>
          <w:szCs w:val="21"/>
        </w:rPr>
        <w:t>the most straightforward option</w:t>
      </w:r>
      <w:r>
        <w:rPr>
          <w:rFonts w:asciiTheme="minorHAnsi" w:eastAsia="Calibri" w:hAnsiTheme="minorHAnsi" w:cstheme="minorHAnsi"/>
          <w:color w:val="000000" w:themeColor="text1"/>
          <w:sz w:val="21"/>
          <w:szCs w:val="21"/>
        </w:rPr>
        <w:t xml:space="preserve"> for post school activity for adult children with intellectual disability</w:t>
      </w:r>
      <w:r w:rsidR="00B96282" w:rsidRPr="00410869">
        <w:rPr>
          <w:rFonts w:asciiTheme="minorHAnsi" w:eastAsia="Calibri" w:hAnsiTheme="minorHAnsi" w:cstheme="minorHAnsi"/>
          <w:color w:val="000000" w:themeColor="text1"/>
          <w:sz w:val="21"/>
          <w:szCs w:val="21"/>
        </w:rPr>
        <w:t xml:space="preserve"> is to use </w:t>
      </w:r>
      <w:r w:rsidR="00B264A7">
        <w:rPr>
          <w:rFonts w:asciiTheme="minorHAnsi" w:eastAsia="Calibri" w:hAnsiTheme="minorHAnsi" w:cstheme="minorHAnsi"/>
          <w:color w:val="000000" w:themeColor="text1"/>
          <w:sz w:val="21"/>
          <w:szCs w:val="21"/>
        </w:rPr>
        <w:t>National Disability Insurance Scheme (</w:t>
      </w:r>
      <w:r w:rsidR="00B96282" w:rsidRPr="00410869">
        <w:rPr>
          <w:rFonts w:asciiTheme="minorHAnsi" w:eastAsia="Calibri" w:hAnsiTheme="minorHAnsi" w:cstheme="minorHAnsi"/>
          <w:color w:val="000000" w:themeColor="text1"/>
          <w:sz w:val="21"/>
          <w:szCs w:val="21"/>
        </w:rPr>
        <w:t>NDIS</w:t>
      </w:r>
      <w:r w:rsidR="00B264A7">
        <w:rPr>
          <w:rFonts w:asciiTheme="minorHAnsi" w:eastAsia="Calibri" w:hAnsiTheme="minorHAnsi" w:cstheme="minorHAnsi"/>
          <w:color w:val="000000" w:themeColor="text1"/>
          <w:sz w:val="21"/>
          <w:szCs w:val="21"/>
        </w:rPr>
        <w:t>)</w:t>
      </w:r>
      <w:r w:rsidR="00B96282" w:rsidRPr="00410869">
        <w:rPr>
          <w:rFonts w:asciiTheme="minorHAnsi" w:eastAsia="Calibri" w:hAnsiTheme="minorHAnsi" w:cstheme="minorHAnsi"/>
          <w:color w:val="000000" w:themeColor="text1"/>
          <w:sz w:val="21"/>
          <w:szCs w:val="21"/>
        </w:rPr>
        <w:t xml:space="preserve"> funding in a way that does not interfere with receipt of the Disability Support Pension (DSP) and </w:t>
      </w:r>
      <w:r>
        <w:rPr>
          <w:rFonts w:asciiTheme="minorHAnsi" w:eastAsia="Calibri" w:hAnsiTheme="minorHAnsi" w:cstheme="minorHAnsi"/>
          <w:color w:val="000000" w:themeColor="text1"/>
          <w:sz w:val="21"/>
          <w:szCs w:val="21"/>
        </w:rPr>
        <w:t xml:space="preserve">to </w:t>
      </w:r>
      <w:r w:rsidR="00B264A7">
        <w:rPr>
          <w:rFonts w:asciiTheme="minorHAnsi" w:eastAsia="Calibri" w:hAnsiTheme="minorHAnsi" w:cstheme="minorHAnsi"/>
          <w:color w:val="000000" w:themeColor="text1"/>
          <w:sz w:val="21"/>
          <w:szCs w:val="21"/>
        </w:rPr>
        <w:t>commence at</w:t>
      </w:r>
      <w:r w:rsidR="00B96282" w:rsidRPr="00410869">
        <w:rPr>
          <w:rFonts w:asciiTheme="minorHAnsi" w:eastAsia="Calibri" w:hAnsiTheme="minorHAnsi" w:cstheme="minorHAnsi"/>
          <w:color w:val="000000" w:themeColor="text1"/>
          <w:sz w:val="21"/>
          <w:szCs w:val="21"/>
        </w:rPr>
        <w:t xml:space="preserve"> a Day Service or Australian Disability Enterprise (ADE). T</w:t>
      </w:r>
      <w:r>
        <w:rPr>
          <w:rFonts w:asciiTheme="minorHAnsi" w:eastAsia="Calibri" w:hAnsiTheme="minorHAnsi" w:cstheme="minorHAnsi"/>
          <w:color w:val="000000" w:themeColor="text1"/>
          <w:sz w:val="21"/>
          <w:szCs w:val="21"/>
        </w:rPr>
        <w:t>o date, t</w:t>
      </w:r>
      <w:r w:rsidR="00B96282" w:rsidRPr="00410869">
        <w:rPr>
          <w:rFonts w:asciiTheme="minorHAnsi" w:eastAsia="Calibri" w:hAnsiTheme="minorHAnsi" w:cstheme="minorHAnsi"/>
          <w:color w:val="000000" w:themeColor="text1"/>
          <w:sz w:val="21"/>
          <w:szCs w:val="21"/>
        </w:rPr>
        <w:t xml:space="preserve">hese options </w:t>
      </w:r>
      <w:r>
        <w:rPr>
          <w:rFonts w:asciiTheme="minorHAnsi" w:eastAsia="Calibri" w:hAnsiTheme="minorHAnsi" w:cstheme="minorHAnsi"/>
          <w:color w:val="000000" w:themeColor="text1"/>
          <w:sz w:val="21"/>
          <w:szCs w:val="21"/>
        </w:rPr>
        <w:t>have commonly resulted</w:t>
      </w:r>
      <w:r w:rsidR="00B96282" w:rsidRPr="00410869">
        <w:rPr>
          <w:rFonts w:asciiTheme="minorHAnsi" w:eastAsia="Calibri" w:hAnsiTheme="minorHAnsi" w:cstheme="minorHAnsi"/>
          <w:color w:val="000000" w:themeColor="text1"/>
          <w:sz w:val="21"/>
          <w:szCs w:val="21"/>
        </w:rPr>
        <w:t xml:space="preserve"> in the segregation of people with intellectual </w:t>
      </w:r>
      <w:proofErr w:type="gramStart"/>
      <w:r w:rsidR="00B96282" w:rsidRPr="00410869">
        <w:rPr>
          <w:rFonts w:asciiTheme="minorHAnsi" w:eastAsia="Calibri" w:hAnsiTheme="minorHAnsi" w:cstheme="minorHAnsi"/>
          <w:color w:val="000000" w:themeColor="text1"/>
          <w:sz w:val="21"/>
          <w:szCs w:val="21"/>
        </w:rPr>
        <w:t>disability, and</w:t>
      </w:r>
      <w:proofErr w:type="gramEnd"/>
      <w:r w:rsidR="00B96282" w:rsidRPr="00410869">
        <w:rPr>
          <w:rFonts w:asciiTheme="minorHAnsi" w:eastAsia="Calibri" w:hAnsiTheme="minorHAnsi" w:cstheme="minorHAnsi"/>
          <w:color w:val="000000" w:themeColor="text1"/>
          <w:sz w:val="21"/>
          <w:szCs w:val="21"/>
        </w:rPr>
        <w:t xml:space="preserve"> </w:t>
      </w:r>
      <w:r>
        <w:rPr>
          <w:rFonts w:asciiTheme="minorHAnsi" w:eastAsia="Calibri" w:hAnsiTheme="minorHAnsi" w:cstheme="minorHAnsi"/>
          <w:color w:val="000000" w:themeColor="text1"/>
          <w:sz w:val="21"/>
          <w:szCs w:val="21"/>
        </w:rPr>
        <w:t>have</w:t>
      </w:r>
      <w:r w:rsidR="00B96282" w:rsidRPr="00410869">
        <w:rPr>
          <w:rFonts w:asciiTheme="minorHAnsi" w:eastAsia="Calibri" w:hAnsiTheme="minorHAnsi" w:cstheme="minorHAnsi"/>
          <w:color w:val="000000" w:themeColor="text1"/>
          <w:sz w:val="21"/>
          <w:szCs w:val="21"/>
        </w:rPr>
        <w:t xml:space="preserve"> not contribute</w:t>
      </w:r>
      <w:r>
        <w:rPr>
          <w:rFonts w:asciiTheme="minorHAnsi" w:eastAsia="Calibri" w:hAnsiTheme="minorHAnsi" w:cstheme="minorHAnsi"/>
          <w:color w:val="000000" w:themeColor="text1"/>
          <w:sz w:val="21"/>
          <w:szCs w:val="21"/>
        </w:rPr>
        <w:t>d</w:t>
      </w:r>
      <w:r w:rsidR="00B96282" w:rsidRPr="00410869">
        <w:rPr>
          <w:rFonts w:asciiTheme="minorHAnsi" w:eastAsia="Calibri" w:hAnsiTheme="minorHAnsi" w:cstheme="minorHAnsi"/>
          <w:color w:val="000000" w:themeColor="text1"/>
          <w:sz w:val="21"/>
          <w:szCs w:val="21"/>
        </w:rPr>
        <w:t xml:space="preserve"> to their economic participation</w:t>
      </w:r>
      <w:r>
        <w:rPr>
          <w:rFonts w:asciiTheme="minorHAnsi" w:eastAsia="Calibri" w:hAnsiTheme="minorHAnsi" w:cstheme="minorHAnsi"/>
          <w:color w:val="000000" w:themeColor="text1"/>
          <w:sz w:val="21"/>
          <w:szCs w:val="21"/>
        </w:rPr>
        <w:t xml:space="preserve"> in the open labour market</w:t>
      </w:r>
      <w:r w:rsidR="00B96282" w:rsidRPr="00410869">
        <w:rPr>
          <w:rFonts w:asciiTheme="minorHAnsi" w:eastAsia="Calibri" w:hAnsiTheme="minorHAnsi" w:cstheme="minorHAnsi"/>
          <w:color w:val="000000" w:themeColor="text1"/>
          <w:sz w:val="21"/>
          <w:szCs w:val="21"/>
        </w:rPr>
        <w:t>.</w:t>
      </w:r>
    </w:p>
    <w:p w14:paraId="7B1B5C92" w14:textId="42858A6B" w:rsidR="00B96282" w:rsidRPr="00B16DF8" w:rsidRDefault="00410869" w:rsidP="00B16DF8">
      <w:pPr>
        <w:pStyle w:val="Heading2"/>
        <w:rPr>
          <w:rFonts w:eastAsia="Calibri"/>
        </w:rPr>
      </w:pPr>
      <w:bookmarkStart w:id="28" w:name="_Toc49417866"/>
      <w:bookmarkStart w:id="29" w:name="_Toc49419935"/>
      <w:r w:rsidRPr="00B16DF8">
        <w:rPr>
          <w:rFonts w:eastAsia="Calibri"/>
        </w:rPr>
        <w:t>Project aim</w:t>
      </w:r>
      <w:bookmarkEnd w:id="28"/>
      <w:bookmarkEnd w:id="29"/>
    </w:p>
    <w:p w14:paraId="7B7311FC" w14:textId="77777777" w:rsidR="00410869" w:rsidRDefault="00410869" w:rsidP="00811AD6">
      <w:pPr>
        <w:pStyle w:val="NormalWeb"/>
        <w:spacing w:before="120" w:beforeAutospacing="0" w:after="0" w:afterAutospacing="0" w:line="276" w:lineRule="auto"/>
        <w:rPr>
          <w:rFonts w:asciiTheme="minorHAnsi" w:eastAsia="Calibri" w:hAnsiTheme="minorHAnsi" w:cs="Calibri"/>
          <w:sz w:val="21"/>
          <w:szCs w:val="21"/>
        </w:rPr>
      </w:pPr>
      <w:r w:rsidRPr="00B96282">
        <w:rPr>
          <w:rFonts w:asciiTheme="minorHAnsi" w:eastAsia="Calibri" w:hAnsiTheme="minorHAnsi" w:cs="Calibri"/>
          <w:sz w:val="21"/>
          <w:szCs w:val="21"/>
        </w:rPr>
        <w:t xml:space="preserve">The 12-month long Employment First (E1) project was funded through an Information, Linkages and Capacity Building (ILC) grant from the National Disability Insurance Agency (NDIA). </w:t>
      </w:r>
    </w:p>
    <w:p w14:paraId="0885DBB3" w14:textId="1E7A5C7D" w:rsidR="00410869" w:rsidRPr="00410869" w:rsidRDefault="00410869" w:rsidP="00811AD6">
      <w:pPr>
        <w:snapToGrid w:val="0"/>
        <w:spacing w:line="276" w:lineRule="auto"/>
        <w:rPr>
          <w:rFonts w:asciiTheme="minorHAnsi" w:eastAsia="Calibri" w:hAnsiTheme="minorHAnsi" w:cstheme="minorHAnsi"/>
          <w:color w:val="000000" w:themeColor="text1"/>
          <w:szCs w:val="21"/>
        </w:rPr>
      </w:pPr>
      <w:r w:rsidRPr="00410869">
        <w:rPr>
          <w:rFonts w:asciiTheme="minorHAnsi" w:eastAsia="Calibri" w:hAnsiTheme="minorHAnsi" w:cstheme="minorHAnsi"/>
          <w:color w:val="000000" w:themeColor="text1"/>
          <w:szCs w:val="21"/>
        </w:rPr>
        <w:t xml:space="preserve">The purpose of the Employment First project </w:t>
      </w:r>
      <w:r w:rsidR="00B9650D">
        <w:rPr>
          <w:rFonts w:asciiTheme="minorHAnsi" w:eastAsia="Calibri" w:hAnsiTheme="minorHAnsi" w:cstheme="minorHAnsi"/>
          <w:color w:val="000000" w:themeColor="text1"/>
          <w:szCs w:val="21"/>
        </w:rPr>
        <w:t>was</w:t>
      </w:r>
      <w:r w:rsidRPr="00410869">
        <w:rPr>
          <w:rFonts w:asciiTheme="minorHAnsi" w:eastAsia="Calibri" w:hAnsiTheme="minorHAnsi" w:cstheme="minorHAnsi"/>
          <w:color w:val="000000" w:themeColor="text1"/>
          <w:szCs w:val="21"/>
        </w:rPr>
        <w:t xml:space="preserve"> to make getting a job in open employment a more viable option for adults with intellectual disability through the provision of evidence-based information. </w:t>
      </w:r>
      <w:r w:rsidR="00256FE4">
        <w:rPr>
          <w:rFonts w:asciiTheme="minorHAnsi" w:eastAsia="Calibri" w:hAnsiTheme="minorHAnsi" w:cstheme="minorHAnsi"/>
          <w:color w:val="000000" w:themeColor="text1"/>
          <w:szCs w:val="21"/>
        </w:rPr>
        <w:t>Families, supporters and people with intellectual disability require c</w:t>
      </w:r>
      <w:r w:rsidRPr="00410869">
        <w:rPr>
          <w:rStyle w:val="normaltextrun"/>
          <w:rFonts w:asciiTheme="minorHAnsi" w:hAnsiTheme="minorHAnsi" w:cstheme="minorHAnsi"/>
          <w:szCs w:val="21"/>
        </w:rPr>
        <w:t xml:space="preserve">lear, relevant and accessible evidence </w:t>
      </w:r>
      <w:r w:rsidR="00256FE4">
        <w:rPr>
          <w:rStyle w:val="normaltextrun"/>
          <w:rFonts w:asciiTheme="minorHAnsi" w:hAnsiTheme="minorHAnsi" w:cstheme="minorHAnsi"/>
          <w:szCs w:val="21"/>
        </w:rPr>
        <w:t>to facilitate</w:t>
      </w:r>
      <w:r w:rsidRPr="00410869">
        <w:rPr>
          <w:rFonts w:asciiTheme="minorHAnsi" w:eastAsia="Calibri" w:hAnsiTheme="minorHAnsi" w:cstheme="minorHAnsi"/>
          <w:color w:val="000000" w:themeColor="text1"/>
          <w:szCs w:val="21"/>
        </w:rPr>
        <w:t xml:space="preserve"> navigat</w:t>
      </w:r>
      <w:r w:rsidR="00256FE4">
        <w:rPr>
          <w:rFonts w:asciiTheme="minorHAnsi" w:eastAsia="Calibri" w:hAnsiTheme="minorHAnsi" w:cstheme="minorHAnsi"/>
          <w:color w:val="000000" w:themeColor="text1"/>
          <w:szCs w:val="21"/>
        </w:rPr>
        <w:t>ing</w:t>
      </w:r>
      <w:r w:rsidRPr="00410869">
        <w:rPr>
          <w:rFonts w:asciiTheme="minorHAnsi" w:eastAsia="Calibri" w:hAnsiTheme="minorHAnsi" w:cstheme="minorHAnsi"/>
          <w:color w:val="000000" w:themeColor="text1"/>
          <w:szCs w:val="21"/>
        </w:rPr>
        <w:t xml:space="preserve"> a pathway to open employment and help inform their decision-making</w:t>
      </w:r>
      <w:r w:rsidRPr="00410869">
        <w:rPr>
          <w:rStyle w:val="normaltextrun"/>
          <w:rFonts w:asciiTheme="minorHAnsi" w:hAnsiTheme="minorHAnsi" w:cstheme="minorHAnsi"/>
          <w:szCs w:val="21"/>
        </w:rPr>
        <w:t>.</w:t>
      </w:r>
      <w:r w:rsidRPr="00410869">
        <w:rPr>
          <w:rStyle w:val="eop"/>
          <w:rFonts w:asciiTheme="minorHAnsi" w:eastAsia="Calibri" w:hAnsiTheme="minorHAnsi" w:cstheme="minorHAnsi"/>
          <w:color w:val="000000" w:themeColor="text1"/>
          <w:szCs w:val="21"/>
        </w:rPr>
        <w:t xml:space="preserve"> </w:t>
      </w:r>
      <w:r w:rsidRPr="00410869">
        <w:rPr>
          <w:rFonts w:asciiTheme="minorHAnsi" w:eastAsia="Calibri" w:hAnsiTheme="minorHAnsi" w:cstheme="minorHAnsi"/>
          <w:color w:val="000000" w:themeColor="text1"/>
          <w:szCs w:val="21"/>
        </w:rPr>
        <w:t xml:space="preserve">The project </w:t>
      </w:r>
      <w:r w:rsidR="00B9650D">
        <w:rPr>
          <w:rFonts w:asciiTheme="minorHAnsi" w:eastAsia="Calibri" w:hAnsiTheme="minorHAnsi" w:cstheme="minorHAnsi"/>
          <w:color w:val="000000" w:themeColor="text1"/>
          <w:szCs w:val="21"/>
        </w:rPr>
        <w:t>aimed to</w:t>
      </w:r>
      <w:r w:rsidRPr="00410869">
        <w:rPr>
          <w:rFonts w:asciiTheme="minorHAnsi" w:eastAsia="Calibri" w:hAnsiTheme="minorHAnsi" w:cstheme="minorHAnsi"/>
          <w:color w:val="000000" w:themeColor="text1"/>
          <w:szCs w:val="21"/>
        </w:rPr>
        <w:t>:</w:t>
      </w:r>
    </w:p>
    <w:p w14:paraId="124A0BEA" w14:textId="7A41058F" w:rsidR="00410869" w:rsidRPr="00410869" w:rsidRDefault="00410869" w:rsidP="00811AD6">
      <w:pPr>
        <w:pStyle w:val="ListParagraph"/>
        <w:numPr>
          <w:ilvl w:val="0"/>
          <w:numId w:val="7"/>
        </w:numPr>
        <w:snapToGrid w:val="0"/>
        <w:spacing w:line="276" w:lineRule="auto"/>
        <w:contextualSpacing w:val="0"/>
        <w:rPr>
          <w:rFonts w:asciiTheme="minorHAnsi" w:hAnsiTheme="minorHAnsi" w:cstheme="minorHAnsi"/>
          <w:color w:val="000000" w:themeColor="text1"/>
          <w:szCs w:val="21"/>
        </w:rPr>
      </w:pPr>
      <w:r w:rsidRPr="00410869">
        <w:rPr>
          <w:rFonts w:asciiTheme="minorHAnsi" w:eastAsia="Calibri" w:hAnsiTheme="minorHAnsi" w:cstheme="minorHAnsi"/>
          <w:color w:val="000000" w:themeColor="text1"/>
          <w:szCs w:val="21"/>
        </w:rPr>
        <w:t>Give families of people with intellectual disability evidence-based information</w:t>
      </w:r>
      <w:r w:rsidR="00B9650D">
        <w:rPr>
          <w:rFonts w:asciiTheme="minorHAnsi" w:eastAsia="Calibri" w:hAnsiTheme="minorHAnsi" w:cstheme="minorHAnsi"/>
          <w:color w:val="000000" w:themeColor="text1"/>
          <w:szCs w:val="21"/>
        </w:rPr>
        <w:t xml:space="preserve"> </w:t>
      </w:r>
      <w:r w:rsidRPr="00410869">
        <w:rPr>
          <w:rFonts w:asciiTheme="minorHAnsi" w:eastAsia="Calibri" w:hAnsiTheme="minorHAnsi" w:cstheme="minorHAnsi"/>
          <w:color w:val="000000" w:themeColor="text1"/>
          <w:szCs w:val="21"/>
        </w:rPr>
        <w:t xml:space="preserve">in a factual, warm and non-judgmental </w:t>
      </w:r>
      <w:r w:rsidR="00531A8B">
        <w:rPr>
          <w:rFonts w:asciiTheme="minorHAnsi" w:eastAsia="Calibri" w:hAnsiTheme="minorHAnsi" w:cstheme="minorHAnsi"/>
          <w:color w:val="000000" w:themeColor="text1"/>
          <w:szCs w:val="21"/>
        </w:rPr>
        <w:t>way</w:t>
      </w:r>
      <w:r w:rsidRPr="00410869">
        <w:rPr>
          <w:rFonts w:asciiTheme="minorHAnsi" w:eastAsia="Calibri" w:hAnsiTheme="minorHAnsi" w:cstheme="minorHAnsi"/>
          <w:color w:val="000000" w:themeColor="text1"/>
          <w:szCs w:val="21"/>
        </w:rPr>
        <w:t xml:space="preserve">. </w:t>
      </w:r>
      <w:r w:rsidR="00531A8B">
        <w:rPr>
          <w:rFonts w:asciiTheme="minorHAnsi" w:eastAsia="Calibri" w:hAnsiTheme="minorHAnsi" w:cstheme="minorHAnsi"/>
          <w:color w:val="000000" w:themeColor="text1"/>
          <w:szCs w:val="21"/>
        </w:rPr>
        <w:t>This would include</w:t>
      </w:r>
      <w:r w:rsidRPr="00410869">
        <w:rPr>
          <w:rFonts w:asciiTheme="minorHAnsi" w:eastAsia="Calibri" w:hAnsiTheme="minorHAnsi" w:cstheme="minorHAnsi"/>
          <w:color w:val="000000" w:themeColor="text1"/>
          <w:szCs w:val="21"/>
        </w:rPr>
        <w:t xml:space="preserve"> facts, figures and stories about the </w:t>
      </w:r>
      <w:proofErr w:type="gramStart"/>
      <w:r w:rsidRPr="00410869">
        <w:rPr>
          <w:rFonts w:asciiTheme="minorHAnsi" w:eastAsia="Calibri" w:hAnsiTheme="minorHAnsi" w:cstheme="minorHAnsi"/>
          <w:color w:val="000000" w:themeColor="text1"/>
          <w:szCs w:val="21"/>
        </w:rPr>
        <w:t>choices</w:t>
      </w:r>
      <w:proofErr w:type="gramEnd"/>
      <w:r w:rsidRPr="00410869">
        <w:rPr>
          <w:rFonts w:asciiTheme="minorHAnsi" w:eastAsia="Calibri" w:hAnsiTheme="minorHAnsi" w:cstheme="minorHAnsi"/>
          <w:color w:val="000000" w:themeColor="text1"/>
          <w:szCs w:val="21"/>
        </w:rPr>
        <w:t xml:space="preserve"> </w:t>
      </w:r>
      <w:r w:rsidR="00531A8B">
        <w:rPr>
          <w:rFonts w:asciiTheme="minorHAnsi" w:eastAsia="Calibri" w:hAnsiTheme="minorHAnsi" w:cstheme="minorHAnsi"/>
          <w:color w:val="000000" w:themeColor="text1"/>
          <w:szCs w:val="21"/>
        </w:rPr>
        <w:t>families</w:t>
      </w:r>
      <w:r w:rsidRPr="00410869">
        <w:rPr>
          <w:rFonts w:asciiTheme="minorHAnsi" w:eastAsia="Calibri" w:hAnsiTheme="minorHAnsi" w:cstheme="minorHAnsi"/>
          <w:color w:val="000000" w:themeColor="text1"/>
          <w:szCs w:val="21"/>
        </w:rPr>
        <w:t xml:space="preserve"> make throughout the life of their family member with intellectual disability that </w:t>
      </w:r>
      <w:r w:rsidR="00256FE4">
        <w:rPr>
          <w:rFonts w:asciiTheme="minorHAnsi" w:eastAsia="Calibri" w:hAnsiTheme="minorHAnsi" w:cstheme="minorHAnsi"/>
          <w:color w:val="000000" w:themeColor="text1"/>
          <w:szCs w:val="21"/>
        </w:rPr>
        <w:t>support</w:t>
      </w:r>
      <w:r w:rsidRPr="00410869">
        <w:rPr>
          <w:rFonts w:asciiTheme="minorHAnsi" w:eastAsia="Calibri" w:hAnsiTheme="minorHAnsi" w:cstheme="minorHAnsi"/>
          <w:color w:val="000000" w:themeColor="text1"/>
          <w:szCs w:val="21"/>
        </w:rPr>
        <w:t xml:space="preserve"> open employment </w:t>
      </w:r>
      <w:r w:rsidR="00256FE4">
        <w:rPr>
          <w:rFonts w:asciiTheme="minorHAnsi" w:eastAsia="Calibri" w:hAnsiTheme="minorHAnsi" w:cstheme="minorHAnsi"/>
          <w:color w:val="000000" w:themeColor="text1"/>
          <w:szCs w:val="21"/>
        </w:rPr>
        <w:t>for</w:t>
      </w:r>
      <w:r w:rsidRPr="00410869">
        <w:rPr>
          <w:rFonts w:asciiTheme="minorHAnsi" w:eastAsia="Calibri" w:hAnsiTheme="minorHAnsi" w:cstheme="minorHAnsi"/>
          <w:color w:val="000000" w:themeColor="text1"/>
          <w:szCs w:val="21"/>
        </w:rPr>
        <w:t xml:space="preserve"> adults</w:t>
      </w:r>
      <w:r w:rsidR="00256FE4">
        <w:rPr>
          <w:rFonts w:asciiTheme="minorHAnsi" w:eastAsia="Calibri" w:hAnsiTheme="minorHAnsi" w:cstheme="minorHAnsi"/>
          <w:color w:val="000000" w:themeColor="text1"/>
          <w:szCs w:val="21"/>
        </w:rPr>
        <w:t xml:space="preserve"> with intellectual </w:t>
      </w:r>
      <w:r w:rsidR="00F37066">
        <w:rPr>
          <w:rFonts w:asciiTheme="minorHAnsi" w:eastAsia="Calibri" w:hAnsiTheme="minorHAnsi" w:cstheme="minorHAnsi"/>
          <w:color w:val="000000" w:themeColor="text1"/>
          <w:szCs w:val="21"/>
        </w:rPr>
        <w:t xml:space="preserve">disability </w:t>
      </w:r>
      <w:r w:rsidR="00F37066" w:rsidRPr="00410869">
        <w:rPr>
          <w:rFonts w:asciiTheme="minorHAnsi" w:eastAsia="Calibri" w:hAnsiTheme="minorHAnsi" w:cstheme="minorHAnsi"/>
          <w:color w:val="000000" w:themeColor="text1"/>
          <w:szCs w:val="21"/>
        </w:rPr>
        <w:t>–</w:t>
      </w:r>
      <w:r w:rsidRPr="00410869">
        <w:rPr>
          <w:rFonts w:asciiTheme="minorHAnsi" w:eastAsia="Calibri" w:hAnsiTheme="minorHAnsi" w:cstheme="minorHAnsi"/>
          <w:color w:val="000000" w:themeColor="text1"/>
          <w:szCs w:val="21"/>
        </w:rPr>
        <w:t xml:space="preserve"> and explain why this is important</w:t>
      </w:r>
      <w:r w:rsidR="00256FE4">
        <w:rPr>
          <w:rFonts w:asciiTheme="minorHAnsi" w:eastAsia="Calibri" w:hAnsiTheme="minorHAnsi" w:cstheme="minorHAnsi"/>
          <w:color w:val="000000" w:themeColor="text1"/>
          <w:szCs w:val="21"/>
        </w:rPr>
        <w:t>;</w:t>
      </w:r>
    </w:p>
    <w:p w14:paraId="3DB7D817" w14:textId="280495EA" w:rsidR="00410869" w:rsidRPr="00410869" w:rsidRDefault="00410869" w:rsidP="00811AD6">
      <w:pPr>
        <w:pStyle w:val="ListParagraph"/>
        <w:numPr>
          <w:ilvl w:val="0"/>
          <w:numId w:val="7"/>
        </w:numPr>
        <w:snapToGrid w:val="0"/>
        <w:spacing w:line="276" w:lineRule="auto"/>
        <w:contextualSpacing w:val="0"/>
        <w:rPr>
          <w:rFonts w:asciiTheme="minorHAnsi" w:hAnsiTheme="minorHAnsi" w:cstheme="minorHAnsi"/>
          <w:color w:val="000000" w:themeColor="text1"/>
          <w:szCs w:val="21"/>
        </w:rPr>
      </w:pPr>
      <w:r w:rsidRPr="00410869">
        <w:rPr>
          <w:rFonts w:asciiTheme="minorHAnsi" w:eastAsia="Calibri" w:hAnsiTheme="minorHAnsi" w:cstheme="minorHAnsi"/>
          <w:color w:val="000000" w:themeColor="text1"/>
          <w:szCs w:val="21"/>
        </w:rPr>
        <w:t xml:space="preserve">Make it easier for families to navigate key disability systems and the interfaces between these (e.g. Centrelink, Disability Employment Services (DES), </w:t>
      </w:r>
      <w:r w:rsidR="00531A8B">
        <w:rPr>
          <w:rFonts w:asciiTheme="minorHAnsi" w:eastAsia="Calibri" w:hAnsiTheme="minorHAnsi" w:cstheme="minorHAnsi"/>
          <w:color w:val="000000" w:themeColor="text1"/>
          <w:szCs w:val="21"/>
        </w:rPr>
        <w:t xml:space="preserve">the </w:t>
      </w:r>
      <w:r w:rsidR="00B264A7">
        <w:rPr>
          <w:rFonts w:asciiTheme="minorHAnsi" w:eastAsia="Calibri" w:hAnsiTheme="minorHAnsi" w:cstheme="minorHAnsi"/>
          <w:color w:val="000000" w:themeColor="text1"/>
          <w:szCs w:val="21"/>
        </w:rPr>
        <w:t>NDIS,</w:t>
      </w:r>
      <w:r w:rsidRPr="00410869">
        <w:rPr>
          <w:rFonts w:asciiTheme="minorHAnsi" w:eastAsia="Calibri" w:hAnsiTheme="minorHAnsi" w:cstheme="minorHAnsi"/>
          <w:color w:val="000000" w:themeColor="text1"/>
          <w:szCs w:val="21"/>
        </w:rPr>
        <w:t xml:space="preserve"> </w:t>
      </w:r>
      <w:r w:rsidR="00531A8B">
        <w:rPr>
          <w:rFonts w:asciiTheme="minorHAnsi" w:eastAsia="Calibri" w:hAnsiTheme="minorHAnsi" w:cstheme="minorHAnsi"/>
          <w:color w:val="000000" w:themeColor="text1"/>
          <w:szCs w:val="21"/>
        </w:rPr>
        <w:t xml:space="preserve">and </w:t>
      </w:r>
      <w:r w:rsidR="00B264A7">
        <w:rPr>
          <w:rFonts w:asciiTheme="minorHAnsi" w:eastAsia="Calibri" w:hAnsiTheme="minorHAnsi" w:cstheme="minorHAnsi"/>
          <w:color w:val="000000" w:themeColor="text1"/>
          <w:szCs w:val="21"/>
        </w:rPr>
        <w:t>ADEs</w:t>
      </w:r>
      <w:r w:rsidRPr="00410869">
        <w:rPr>
          <w:rFonts w:asciiTheme="minorHAnsi" w:eastAsia="Calibri" w:hAnsiTheme="minorHAnsi" w:cstheme="minorHAnsi"/>
          <w:color w:val="000000" w:themeColor="text1"/>
          <w:szCs w:val="21"/>
        </w:rPr>
        <w:t>) in order to achieve open employment.</w:t>
      </w:r>
    </w:p>
    <w:p w14:paraId="15AB14C9" w14:textId="52F7F897" w:rsidR="00410869" w:rsidRDefault="00410869" w:rsidP="00811AD6">
      <w:pPr>
        <w:pStyle w:val="NormalWeb"/>
        <w:spacing w:before="120" w:beforeAutospacing="0" w:after="0" w:afterAutospacing="0" w:line="276" w:lineRule="auto"/>
        <w:rPr>
          <w:rFonts w:asciiTheme="minorHAnsi" w:hAnsiTheme="minorHAnsi" w:cstheme="minorHAnsi"/>
          <w:color w:val="000000"/>
          <w:sz w:val="21"/>
          <w:szCs w:val="21"/>
        </w:rPr>
      </w:pPr>
      <w:r w:rsidRPr="00B96282">
        <w:rPr>
          <w:rFonts w:asciiTheme="minorHAnsi" w:hAnsiTheme="minorHAnsi" w:cstheme="minorHAnsi"/>
          <w:color w:val="000000"/>
          <w:sz w:val="21"/>
          <w:szCs w:val="21"/>
        </w:rPr>
        <w:t xml:space="preserve">A major component of the project was the development of a dedicated plain-language, accessible online portal to bring together key employment pathway information, data and research, and present these from a person-first perspective. </w:t>
      </w:r>
      <w:r w:rsidR="00256FE4">
        <w:rPr>
          <w:rFonts w:asciiTheme="minorHAnsi" w:hAnsiTheme="minorHAnsi" w:cstheme="minorHAnsi"/>
          <w:color w:val="000000"/>
          <w:sz w:val="21"/>
          <w:szCs w:val="21"/>
        </w:rPr>
        <w:t xml:space="preserve">The evidence pieces, presented in this report, were commissioned as a major element of the evidence to inform the portal. </w:t>
      </w:r>
    </w:p>
    <w:p w14:paraId="0435BF94" w14:textId="3713F8BA" w:rsidR="00410869" w:rsidRPr="00B96282" w:rsidRDefault="00410869" w:rsidP="00811AD6">
      <w:pPr>
        <w:pStyle w:val="NormalWeb"/>
        <w:spacing w:before="120" w:beforeAutospacing="0" w:after="0" w:afterAutospacing="0" w:line="276" w:lineRule="auto"/>
        <w:rPr>
          <w:rFonts w:asciiTheme="minorHAnsi" w:hAnsiTheme="minorHAnsi" w:cstheme="minorHAnsi"/>
          <w:sz w:val="21"/>
          <w:szCs w:val="21"/>
        </w:rPr>
      </w:pPr>
      <w:r w:rsidRPr="00B96282">
        <w:rPr>
          <w:rFonts w:asciiTheme="minorHAnsi" w:hAnsiTheme="minorHAnsi" w:cstheme="minorHAnsi"/>
          <w:color w:val="000000"/>
          <w:sz w:val="21"/>
          <w:szCs w:val="21"/>
        </w:rPr>
        <w:t xml:space="preserve">Overall, the project aimed to increase the opportunities for people with disability to access and pursue open employment through increased support and information available, via the website and related workshops, to </w:t>
      </w:r>
      <w:r w:rsidR="00531A8B">
        <w:rPr>
          <w:rFonts w:asciiTheme="minorHAnsi" w:hAnsiTheme="minorHAnsi" w:cstheme="minorHAnsi"/>
          <w:color w:val="000000"/>
          <w:sz w:val="21"/>
          <w:szCs w:val="21"/>
        </w:rPr>
        <w:t xml:space="preserve">individuals, </w:t>
      </w:r>
      <w:r w:rsidRPr="00B96282">
        <w:rPr>
          <w:rFonts w:asciiTheme="minorHAnsi" w:hAnsiTheme="minorHAnsi" w:cstheme="minorHAnsi"/>
          <w:color w:val="000000"/>
          <w:sz w:val="21"/>
          <w:szCs w:val="21"/>
        </w:rPr>
        <w:t>families and other supporters.</w:t>
      </w:r>
    </w:p>
    <w:p w14:paraId="181BF940" w14:textId="77777777" w:rsidR="00410869" w:rsidRPr="00B96282" w:rsidRDefault="00410869" w:rsidP="00CE427B">
      <w:pPr>
        <w:snapToGrid w:val="0"/>
        <w:spacing w:after="120" w:line="276" w:lineRule="auto"/>
        <w:rPr>
          <w:rFonts w:asciiTheme="minorHAnsi" w:eastAsia="Calibri" w:hAnsiTheme="minorHAnsi" w:cstheme="minorHAnsi"/>
          <w:szCs w:val="21"/>
        </w:rPr>
      </w:pPr>
    </w:p>
    <w:p w14:paraId="13862D34" w14:textId="2DF66899" w:rsidR="00D82093" w:rsidRDefault="00FC7264" w:rsidP="00CE427B">
      <w:pPr>
        <w:pStyle w:val="Heading1"/>
        <w:spacing w:before="100" w:beforeAutospacing="1" w:after="100" w:afterAutospacing="1" w:line="276" w:lineRule="auto"/>
      </w:pPr>
      <w:bookmarkStart w:id="30" w:name="_Toc49462452"/>
      <w:r>
        <w:lastRenderedPageBreak/>
        <w:t>A</w:t>
      </w:r>
      <w:r w:rsidR="00B96282">
        <w:t>bout the research design</w:t>
      </w:r>
      <w:bookmarkEnd w:id="30"/>
    </w:p>
    <w:p w14:paraId="796F45C0" w14:textId="7BD81FB2" w:rsidR="006B563E" w:rsidRPr="00B16DF8" w:rsidRDefault="006B563E" w:rsidP="00B16DF8">
      <w:pPr>
        <w:pStyle w:val="Heading2"/>
      </w:pPr>
      <w:bookmarkStart w:id="31" w:name="_Toc49417868"/>
      <w:r w:rsidRPr="00B16DF8">
        <w:t xml:space="preserve">Research </w:t>
      </w:r>
      <w:r w:rsidR="00F37066" w:rsidRPr="00B16DF8">
        <w:t>f</w:t>
      </w:r>
      <w:r w:rsidRPr="00B16DF8">
        <w:t>ocus</w:t>
      </w:r>
      <w:bookmarkEnd w:id="31"/>
    </w:p>
    <w:p w14:paraId="4903F7C8" w14:textId="6302B1E3" w:rsidR="00B91F60" w:rsidRDefault="00B91F60" w:rsidP="00811AD6">
      <w:pPr>
        <w:snapToGrid w:val="0"/>
        <w:spacing w:line="276" w:lineRule="auto"/>
      </w:pPr>
      <w:r>
        <w:t xml:space="preserve">Inclusion Australia commissioned the Centre for Social Impact to provide a set of ‘evidence pieces’ to </w:t>
      </w:r>
      <w:proofErr w:type="spellStart"/>
      <w:r>
        <w:t>summarise</w:t>
      </w:r>
      <w:proofErr w:type="spellEnd"/>
      <w:r>
        <w:t xml:space="preserve"> the evidence on a range of topics identified by Inclusion Australia. </w:t>
      </w:r>
    </w:p>
    <w:p w14:paraId="3048E3A4" w14:textId="041833C3" w:rsidR="00B91F60" w:rsidRDefault="00B91F60" w:rsidP="00811AD6">
      <w:pPr>
        <w:snapToGrid w:val="0"/>
        <w:spacing w:line="276" w:lineRule="auto"/>
      </w:pPr>
      <w:r>
        <w:t>Topics were identified following a workshop</w:t>
      </w:r>
      <w:r w:rsidRPr="00B91F60">
        <w:t xml:space="preserve"> </w:t>
      </w:r>
      <w:r>
        <w:t xml:space="preserve">with stakeholders, </w:t>
      </w:r>
      <w:r w:rsidR="00B13F3C">
        <w:t>convened</w:t>
      </w:r>
      <w:r>
        <w:t xml:space="preserve"> by Inclusion Australia in November</w:t>
      </w:r>
      <w:r w:rsidR="00B264A7">
        <w:t xml:space="preserve"> </w:t>
      </w:r>
      <w:r>
        <w:t xml:space="preserve">2019, to identify key </w:t>
      </w:r>
      <w:r w:rsidR="00B264A7">
        <w:t>interest</w:t>
      </w:r>
      <w:r>
        <w:t xml:space="preserve"> areas in relation to open employment for people with intellectual disabilit</w:t>
      </w:r>
      <w:r w:rsidR="00B13F3C">
        <w:t>y</w:t>
      </w:r>
      <w:r>
        <w:t>. Topics were later collated into four areas:</w:t>
      </w:r>
    </w:p>
    <w:p w14:paraId="62BA3F72" w14:textId="672FD7D3" w:rsidR="00B264A7" w:rsidRDefault="00B264A7" w:rsidP="00811AD6">
      <w:pPr>
        <w:pStyle w:val="ListParagraph"/>
        <w:numPr>
          <w:ilvl w:val="1"/>
          <w:numId w:val="5"/>
        </w:numPr>
        <w:snapToGrid w:val="0"/>
        <w:spacing w:line="276" w:lineRule="auto"/>
        <w:ind w:left="567"/>
        <w:contextualSpacing w:val="0"/>
      </w:pPr>
      <w:r>
        <w:t xml:space="preserve">The </w:t>
      </w:r>
      <w:r w:rsidRPr="001744F5">
        <w:t xml:space="preserve">factors </w:t>
      </w:r>
      <w:r>
        <w:t xml:space="preserve">that </w:t>
      </w:r>
      <w:r w:rsidRPr="001744F5">
        <w:t>contribute to</w:t>
      </w:r>
      <w:r>
        <w:t xml:space="preserve"> or </w:t>
      </w:r>
      <w:r w:rsidRPr="001744F5">
        <w:t xml:space="preserve">enable participation in open employment for people with </w:t>
      </w:r>
      <w:r>
        <w:t xml:space="preserve">intellectual disability </w:t>
      </w:r>
      <w:proofErr w:type="gramStart"/>
      <w:r>
        <w:t>including:</w:t>
      </w:r>
      <w:proofErr w:type="gramEnd"/>
      <w:r>
        <w:t xml:space="preserve"> casual employment / work experience; completion of year 12; expectations of parents, family and immediate supports; post school education.</w:t>
      </w:r>
    </w:p>
    <w:p w14:paraId="5771C7E8" w14:textId="361EC2E1" w:rsidR="00B91F60" w:rsidRPr="001744F5" w:rsidRDefault="00B264A7" w:rsidP="00811AD6">
      <w:pPr>
        <w:pStyle w:val="ListParagraph"/>
        <w:numPr>
          <w:ilvl w:val="1"/>
          <w:numId w:val="5"/>
        </w:numPr>
        <w:snapToGrid w:val="0"/>
        <w:spacing w:line="276" w:lineRule="auto"/>
        <w:ind w:left="567" w:hanging="425"/>
        <w:contextualSpacing w:val="0"/>
      </w:pPr>
      <w:r w:rsidRPr="001744F5">
        <w:rPr>
          <w:rFonts w:eastAsia="-webkit-standard" w:cs="-webkit-standard"/>
        </w:rPr>
        <w:t>Effect of mainstream v</w:t>
      </w:r>
      <w:r>
        <w:rPr>
          <w:rFonts w:eastAsia="-webkit-standard" w:cs="-webkit-standard"/>
        </w:rPr>
        <w:t>ersu</w:t>
      </w:r>
      <w:r w:rsidRPr="001744F5">
        <w:rPr>
          <w:rFonts w:eastAsia="-webkit-standard" w:cs="-webkit-standard"/>
        </w:rPr>
        <w:t>s special school participation on employment outcomes</w:t>
      </w:r>
      <w:r w:rsidR="00D30762">
        <w:rPr>
          <w:rFonts w:eastAsia="-webkit-standard" w:cs="-webkit-standard"/>
        </w:rPr>
        <w:t>.</w:t>
      </w:r>
    </w:p>
    <w:p w14:paraId="0F226861" w14:textId="70E902D6" w:rsidR="00B264A7" w:rsidRPr="001744F5" w:rsidRDefault="00B264A7" w:rsidP="00811AD6">
      <w:pPr>
        <w:pStyle w:val="ListParagraph"/>
        <w:numPr>
          <w:ilvl w:val="1"/>
          <w:numId w:val="5"/>
        </w:numPr>
        <w:snapToGrid w:val="0"/>
        <w:spacing w:line="276" w:lineRule="auto"/>
        <w:ind w:left="567"/>
        <w:contextualSpacing w:val="0"/>
      </w:pPr>
      <w:r>
        <w:t>The supports/activities/programs that are effective in enabling participation in open employment for people with intellectual disability.</w:t>
      </w:r>
    </w:p>
    <w:p w14:paraId="252FEC4B" w14:textId="77777777" w:rsidR="00D30762" w:rsidRPr="00D30762" w:rsidRDefault="00B91F60" w:rsidP="00811AD6">
      <w:pPr>
        <w:pStyle w:val="ListParagraph"/>
        <w:numPr>
          <w:ilvl w:val="1"/>
          <w:numId w:val="5"/>
        </w:numPr>
        <w:snapToGrid w:val="0"/>
        <w:spacing w:line="276" w:lineRule="auto"/>
        <w:ind w:left="567"/>
        <w:contextualSpacing w:val="0"/>
      </w:pPr>
      <w:r w:rsidRPr="00D30762">
        <w:rPr>
          <w:rFonts w:eastAsia="Calibri" w:cs="Calibri"/>
        </w:rPr>
        <w:t xml:space="preserve">Outcomes of open employment for people with </w:t>
      </w:r>
      <w:r w:rsidR="00D30762">
        <w:rPr>
          <w:rFonts w:eastAsia="Calibri" w:cs="Calibri"/>
        </w:rPr>
        <w:t>intellectual disability</w:t>
      </w:r>
      <w:r w:rsidRPr="00D30762">
        <w:rPr>
          <w:rFonts w:eastAsia="Calibri" w:cs="Calibri"/>
        </w:rPr>
        <w:t xml:space="preserve">. </w:t>
      </w:r>
    </w:p>
    <w:p w14:paraId="1E5D405E" w14:textId="77777777" w:rsidR="006B563E" w:rsidRPr="00B16DF8" w:rsidRDefault="006B563E" w:rsidP="00B16DF8">
      <w:pPr>
        <w:pStyle w:val="Heading2"/>
      </w:pPr>
      <w:bookmarkStart w:id="32" w:name="_Toc49417869"/>
      <w:r w:rsidRPr="00B16DF8">
        <w:t>Method</w:t>
      </w:r>
      <w:bookmarkEnd w:id="32"/>
    </w:p>
    <w:p w14:paraId="1A106BBF" w14:textId="58302CCC" w:rsidR="004C7CE8" w:rsidRDefault="003A4E61" w:rsidP="00811AD6">
      <w:pPr>
        <w:snapToGrid w:val="0"/>
        <w:spacing w:line="276" w:lineRule="auto"/>
      </w:pPr>
      <w:r>
        <w:t>Each topic was further disaggregated into discrete and relatively short evidence pieces. Given</w:t>
      </w:r>
      <w:r w:rsidR="004C7CE8">
        <w:t xml:space="preserve"> that evidence pieces </w:t>
      </w:r>
      <w:r>
        <w:t>were</w:t>
      </w:r>
      <w:r w:rsidR="004C7CE8">
        <w:t xml:space="preserve"> intended to </w:t>
      </w:r>
      <w:r>
        <w:t xml:space="preserve">be used to </w:t>
      </w:r>
      <w:r w:rsidR="004C7CE8">
        <w:t xml:space="preserve">inform parents, </w:t>
      </w:r>
      <w:proofErr w:type="spellStart"/>
      <w:r w:rsidR="004C7CE8">
        <w:t>carers</w:t>
      </w:r>
      <w:proofErr w:type="spellEnd"/>
      <w:r w:rsidR="004C7CE8">
        <w:t xml:space="preserve"> and supporters of people with intellectual disability</w:t>
      </w:r>
      <w:r w:rsidR="00256FE4">
        <w:t xml:space="preserve">, </w:t>
      </w:r>
      <w:r>
        <w:t>a synthesis of the evidence rather than a formal literature review, was sought</w:t>
      </w:r>
      <w:r w:rsidR="004C7CE8">
        <w:t xml:space="preserve">. </w:t>
      </w:r>
      <w:r w:rsidR="00256FE4">
        <w:t xml:space="preserve">Evidence pieces aimed to translate each relevant body of research into a format that could inform readers and support decision making. </w:t>
      </w:r>
      <w:r w:rsidR="004C7CE8">
        <w:t xml:space="preserve">In this context, </w:t>
      </w:r>
      <w:r>
        <w:t>each evidence piece</w:t>
      </w:r>
      <w:r w:rsidR="004C7CE8">
        <w:t>:</w:t>
      </w:r>
    </w:p>
    <w:p w14:paraId="27363BCF" w14:textId="37AFCC7E" w:rsidR="004C7CE8" w:rsidRDefault="004C7CE8" w:rsidP="00811AD6">
      <w:pPr>
        <w:pStyle w:val="ListParagraph"/>
        <w:numPr>
          <w:ilvl w:val="0"/>
          <w:numId w:val="6"/>
        </w:numPr>
        <w:snapToGrid w:val="0"/>
        <w:spacing w:line="276" w:lineRule="auto"/>
      </w:pPr>
      <w:r>
        <w:t>Focus</w:t>
      </w:r>
      <w:r w:rsidR="003A4E61">
        <w:t>ed</w:t>
      </w:r>
      <w:r>
        <w:t xml:space="preserve"> on topics and evidence of the most relevance to supporting increased </w:t>
      </w:r>
      <w:r w:rsidR="003A4E61">
        <w:t xml:space="preserve">open </w:t>
      </w:r>
      <w:r>
        <w:t>employment opportunities for people with intellectual disability</w:t>
      </w:r>
      <w:r w:rsidR="003A4E61">
        <w:t>;</w:t>
      </w:r>
    </w:p>
    <w:p w14:paraId="0E5DCD76" w14:textId="26F64474" w:rsidR="004C7CE8" w:rsidRDefault="004C7CE8" w:rsidP="00811AD6">
      <w:pPr>
        <w:pStyle w:val="ListParagraph"/>
        <w:numPr>
          <w:ilvl w:val="0"/>
          <w:numId w:val="6"/>
        </w:numPr>
        <w:snapToGrid w:val="0"/>
        <w:spacing w:line="276" w:lineRule="auto"/>
      </w:pPr>
      <w:r>
        <w:t>Dr</w:t>
      </w:r>
      <w:r w:rsidR="003A4E61">
        <w:t>e</w:t>
      </w:r>
      <w:r>
        <w:t xml:space="preserve">w together conclusions and findings from a range of evidence </w:t>
      </w:r>
      <w:r w:rsidR="00ED436E">
        <w:t xml:space="preserve">(academic and grey) </w:t>
      </w:r>
      <w:r>
        <w:t>in a way that succinctly explain</w:t>
      </w:r>
      <w:r w:rsidR="003A4E61">
        <w:t>ed</w:t>
      </w:r>
      <w:r>
        <w:t xml:space="preserve"> the topic and provide</w:t>
      </w:r>
      <w:r w:rsidR="003A4E61">
        <w:t>d</w:t>
      </w:r>
      <w:r>
        <w:t xml:space="preserve"> guidance based on evidence</w:t>
      </w:r>
      <w:r w:rsidR="003A4E61">
        <w:t>;</w:t>
      </w:r>
    </w:p>
    <w:p w14:paraId="6C50D78B" w14:textId="40C9E136" w:rsidR="004C7CE8" w:rsidRDefault="004C7CE8" w:rsidP="00811AD6">
      <w:pPr>
        <w:pStyle w:val="ListParagraph"/>
        <w:numPr>
          <w:ilvl w:val="0"/>
          <w:numId w:val="6"/>
        </w:numPr>
        <w:snapToGrid w:val="0"/>
        <w:spacing w:line="276" w:lineRule="auto"/>
      </w:pPr>
      <w:proofErr w:type="gramStart"/>
      <w:r>
        <w:t>Specifically</w:t>
      </w:r>
      <w:proofErr w:type="gramEnd"/>
      <w:r>
        <w:t xml:space="preserve"> highlight</w:t>
      </w:r>
      <w:r w:rsidR="003A4E61">
        <w:t>ed</w:t>
      </w:r>
      <w:r>
        <w:t xml:space="preserve"> evidence that is based on samples of people with intellectual disability in Australia or similar contexts</w:t>
      </w:r>
      <w:r w:rsidR="00456A87">
        <w:t xml:space="preserve">. Where there </w:t>
      </w:r>
      <w:r w:rsidR="003A4E61">
        <w:t>was</w:t>
      </w:r>
      <w:r w:rsidR="00456A87">
        <w:t xml:space="preserve"> no or insufficient evidence related to intellectual disability, other evidence </w:t>
      </w:r>
      <w:r w:rsidR="003A4E61">
        <w:t>was</w:t>
      </w:r>
      <w:r w:rsidR="00456A87">
        <w:t xml:space="preserve"> used </w:t>
      </w:r>
      <w:r w:rsidR="003A4E61">
        <w:t>with suitable caveats</w:t>
      </w:r>
      <w:r w:rsidR="00456A87">
        <w:t>.</w:t>
      </w:r>
    </w:p>
    <w:p w14:paraId="0012E0A0" w14:textId="0876B4F1" w:rsidR="004C7CE8" w:rsidRDefault="004C7CE8" w:rsidP="00811AD6">
      <w:pPr>
        <w:pStyle w:val="ListParagraph"/>
        <w:numPr>
          <w:ilvl w:val="0"/>
          <w:numId w:val="6"/>
        </w:numPr>
        <w:snapToGrid w:val="0"/>
        <w:spacing w:line="276" w:lineRule="auto"/>
      </w:pPr>
      <w:r>
        <w:t>Select</w:t>
      </w:r>
      <w:r w:rsidR="003A4E61">
        <w:t>ed</w:t>
      </w:r>
      <w:r>
        <w:t xml:space="preserve"> and </w:t>
      </w:r>
      <w:proofErr w:type="spellStart"/>
      <w:r>
        <w:t>prioritise</w:t>
      </w:r>
      <w:r w:rsidR="003A4E61">
        <w:t>d</w:t>
      </w:r>
      <w:proofErr w:type="spellEnd"/>
      <w:r>
        <w:t xml:space="preserve"> evidence that </w:t>
      </w:r>
      <w:r w:rsidR="003A4E61">
        <w:t>was</w:t>
      </w:r>
      <w:r>
        <w:t xml:space="preserve"> current and high quality, </w:t>
      </w:r>
      <w:r w:rsidR="00ED436E">
        <w:t>making succinct evaluative comments about the level and quality of evidence available.</w:t>
      </w:r>
    </w:p>
    <w:p w14:paraId="12C37A61" w14:textId="7F783E27" w:rsidR="00256FE4" w:rsidRDefault="00256FE4" w:rsidP="00811AD6">
      <w:pPr>
        <w:spacing w:line="276" w:lineRule="auto"/>
      </w:pPr>
      <w:r>
        <w:t>However, while evidence pieces were targeted and written in a way to translate research for a non-academic reader, they were not written for direct use by people with intellectual disability</w:t>
      </w:r>
      <w:r w:rsidR="000C3F59">
        <w:t>. M</w:t>
      </w:r>
      <w:r w:rsidR="004E46AF">
        <w:t xml:space="preserve">anaging communication </w:t>
      </w:r>
      <w:r w:rsidR="00B13F3C">
        <w:t>to people with an intellectual disability is an ongoing</w:t>
      </w:r>
      <w:r>
        <w:t xml:space="preserve"> activity of the </w:t>
      </w:r>
      <w:r w:rsidR="004E46AF">
        <w:t xml:space="preserve">wider </w:t>
      </w:r>
      <w:r>
        <w:t>project.</w:t>
      </w:r>
    </w:p>
    <w:p w14:paraId="0A94A6C4" w14:textId="41C16E96" w:rsidR="006B563E" w:rsidRDefault="006B563E" w:rsidP="00811AD6">
      <w:pPr>
        <w:spacing w:line="276" w:lineRule="auto"/>
      </w:pPr>
      <w:r>
        <w:t xml:space="preserve">Searches of the literature were conducted by using search engines including </w:t>
      </w:r>
      <w:r w:rsidR="008D6DF3">
        <w:t>EBSCO</w:t>
      </w:r>
      <w:r>
        <w:t>host and Google Scholar, as well as by identifying relevant literature from reference lists. A wide range of search terms were used related to intellectual disability (including learning disability), as well as to the four main topic areas, and sub themes within them. The literature review sought to identify existing literature review</w:t>
      </w:r>
      <w:r w:rsidR="000C3F59">
        <w:t>s</w:t>
      </w:r>
      <w:r>
        <w:t xml:space="preserve"> or meta analyses as a first search strategy. This included the use of a previous literature review </w:t>
      </w:r>
      <w:r w:rsidR="004E46AF">
        <w:t>co-</w:t>
      </w:r>
      <w:r>
        <w:t>author</w:t>
      </w:r>
      <w:r w:rsidR="004E46AF">
        <w:t>ed</w:t>
      </w:r>
      <w:r>
        <w:t xml:space="preserve"> </w:t>
      </w:r>
      <w:r w:rsidR="004E46AF">
        <w:t xml:space="preserve">by one of the authors and commissioned by the </w:t>
      </w:r>
      <w:r w:rsidR="000C3F59">
        <w:t>NDIA</w:t>
      </w:r>
      <w:r>
        <w:t xml:space="preserve"> (Crosbie et al., 2019).</w:t>
      </w:r>
      <w:r w:rsidR="00E0221C">
        <w:t xml:space="preserve"> In all, 188 </w:t>
      </w:r>
      <w:r w:rsidR="004E46AF">
        <w:t xml:space="preserve">separate </w:t>
      </w:r>
      <w:r w:rsidR="00E0221C">
        <w:t xml:space="preserve">sources were included in the review, including grey literature (such as </w:t>
      </w:r>
      <w:r w:rsidR="008517E0">
        <w:t xml:space="preserve">program </w:t>
      </w:r>
      <w:r w:rsidR="00E0221C">
        <w:t>evaluation reports</w:t>
      </w:r>
      <w:r w:rsidR="008517E0">
        <w:t>, submissions to inquiries, and</w:t>
      </w:r>
      <w:r w:rsidR="00E0221C">
        <w:t xml:space="preserve"> </w:t>
      </w:r>
      <w:r w:rsidR="008517E0">
        <w:t>service websites), academic publications (journal articles and book chapters), and government documents (policies, evaluations, inquiries and reports).</w:t>
      </w:r>
      <w:r w:rsidR="004E46AF">
        <w:t xml:space="preserve"> The inclusion of already published literature reviews further substantially expanded this coverage.</w:t>
      </w:r>
    </w:p>
    <w:p w14:paraId="598FCF2E" w14:textId="6D9D5259" w:rsidR="0048742C" w:rsidRDefault="004E46AF" w:rsidP="00811AD6">
      <w:pPr>
        <w:spacing w:line="276" w:lineRule="auto"/>
      </w:pPr>
      <w:r>
        <w:lastRenderedPageBreak/>
        <w:t>A</w:t>
      </w:r>
      <w:r w:rsidR="00A10EA0">
        <w:t xml:space="preserve"> </w:t>
      </w:r>
      <w:r w:rsidR="00A10EA0" w:rsidRPr="00C73890">
        <w:t xml:space="preserve">set of </w:t>
      </w:r>
      <w:r w:rsidR="00C73890" w:rsidRPr="00C73890">
        <w:t>17</w:t>
      </w:r>
      <w:r w:rsidR="00A10EA0" w:rsidRPr="00C73890">
        <w:t xml:space="preserve"> evidence</w:t>
      </w:r>
      <w:r w:rsidR="00A10EA0">
        <w:t xml:space="preserve"> pieces were produced, each of between 2 and </w:t>
      </w:r>
      <w:r>
        <w:t>7</w:t>
      </w:r>
      <w:r w:rsidR="00A10EA0">
        <w:t xml:space="preserve"> pages in length</w:t>
      </w:r>
      <w:r>
        <w:t xml:space="preserve"> (excluding references)</w:t>
      </w:r>
      <w:r w:rsidR="00A10EA0">
        <w:t>. These were then used by Inclusion Australia to inform content on the website and to be provided as links for further reading.</w:t>
      </w:r>
    </w:p>
    <w:p w14:paraId="5D4F8F3E" w14:textId="040E66C1" w:rsidR="006B563E" w:rsidRPr="00B16DF8" w:rsidRDefault="006B563E" w:rsidP="00B16DF8">
      <w:pPr>
        <w:pStyle w:val="Heading2"/>
      </w:pPr>
      <w:bookmarkStart w:id="33" w:name="_Toc49417870"/>
      <w:r w:rsidRPr="00B16DF8">
        <w:t>Comments on the evidence</w:t>
      </w:r>
      <w:bookmarkEnd w:id="33"/>
    </w:p>
    <w:p w14:paraId="3788B9E1" w14:textId="0AAE48B5" w:rsidR="008517E0" w:rsidRDefault="008517E0" w:rsidP="00811AD6">
      <w:pPr>
        <w:spacing w:line="276" w:lineRule="auto"/>
      </w:pPr>
      <w:r>
        <w:t xml:space="preserve">Across the four topic areas, the evidence was alternately well established, patchy or non-existent. Some topics, such as Individual Placement and Support, have an extensive evidence base across multiple countries and including a high number of </w:t>
      </w:r>
      <w:proofErr w:type="spellStart"/>
      <w:r>
        <w:t>randomi</w:t>
      </w:r>
      <w:r w:rsidR="00823B97">
        <w:t>s</w:t>
      </w:r>
      <w:r>
        <w:t>ed</w:t>
      </w:r>
      <w:proofErr w:type="spellEnd"/>
      <w:r>
        <w:t xml:space="preserve"> control trials (i.e. top tier evidence). In other areas, while studies existed, their samples were small (sometimes only 4 or 5 people with intellectual disability) or mixed (including</w:t>
      </w:r>
      <w:r w:rsidR="004E46AF">
        <w:t xml:space="preserve"> people with a </w:t>
      </w:r>
      <w:r>
        <w:t>range of disabili</w:t>
      </w:r>
      <w:r w:rsidR="004E46AF">
        <w:t>ties</w:t>
      </w:r>
      <w:r>
        <w:t>). Finally, in other areas, such as the outcomes for student</w:t>
      </w:r>
      <w:r w:rsidR="004E46AF">
        <w:t>s</w:t>
      </w:r>
      <w:r>
        <w:t xml:space="preserve"> with intellectual disability leaving secondary education in Australia, the evidence has diminished to non-existent in recent years. </w:t>
      </w:r>
    </w:p>
    <w:p w14:paraId="1ADAC421" w14:textId="263C1E04" w:rsidR="004E46AF" w:rsidRDefault="004E46AF" w:rsidP="00811AD6">
      <w:pPr>
        <w:spacing w:line="276" w:lineRule="auto"/>
      </w:pPr>
      <w:r>
        <w:t xml:space="preserve">All evidence is produced in context and contexts were not always well described or comparable across the literature examined. The task of the researchers in this project has been to interpret the value of different evidence generated in diverse contexts and draw conclusions about what we might take from this to inform actions to support the employment of people in </w:t>
      </w:r>
      <w:r w:rsidR="006E5175">
        <w:t xml:space="preserve">with intellectual disability </w:t>
      </w:r>
      <w:r>
        <w:t>Australia. However, given the diversity of evidence quality and context, the task is necessarily an interpretive one. This approach has its strengths as it enables inclusion of and engagement with a range of sources that might otherwise be excluded</w:t>
      </w:r>
      <w:r w:rsidR="00B13F3C">
        <w:t>. Some</w:t>
      </w:r>
      <w:r>
        <w:t xml:space="preserve"> reviews </w:t>
      </w:r>
      <w:proofErr w:type="spellStart"/>
      <w:r>
        <w:t>prioritise</w:t>
      </w:r>
      <w:proofErr w:type="spellEnd"/>
      <w:r>
        <w:t xml:space="preserve"> only evidence of a certain type or ‘quality’</w:t>
      </w:r>
      <w:r w:rsidR="00B13F3C">
        <w:t xml:space="preserve"> and </w:t>
      </w:r>
      <w:r>
        <w:t>lay aside the emergent literature reported via other sources such as submissions to parliamentary inquiries or commissioned evaluations.</w:t>
      </w:r>
    </w:p>
    <w:p w14:paraId="48A8008A" w14:textId="6E991EC1" w:rsidR="00A96554" w:rsidRDefault="00D71E23" w:rsidP="00811AD6">
      <w:pPr>
        <w:spacing w:line="276" w:lineRule="auto"/>
      </w:pPr>
      <w:r>
        <w:t>Overall, there is</w:t>
      </w:r>
      <w:r w:rsidR="00A96554">
        <w:t xml:space="preserve"> sufficient evidence to draw sound conclusions about the factors that support the employment of people with intellectual disability, and the types of programs that address these</w:t>
      </w:r>
      <w:r>
        <w:t>. However,</w:t>
      </w:r>
      <w:r w:rsidR="00A96554">
        <w:t xml:space="preserve"> there is also cause for concern that </w:t>
      </w:r>
      <w:r>
        <w:t xml:space="preserve">Australian </w:t>
      </w:r>
      <w:r w:rsidR="00A96554">
        <w:t xml:space="preserve">governments </w:t>
      </w:r>
      <w:r>
        <w:t xml:space="preserve">appear to have invested </w:t>
      </w:r>
      <w:r w:rsidR="00A96554">
        <w:t xml:space="preserve">little in </w:t>
      </w:r>
      <w:r>
        <w:t xml:space="preserve">generating evidence about </w:t>
      </w:r>
      <w:r w:rsidR="00A96554">
        <w:t>the outcomes for this group. The case of the lack of evidence about the outcomes of special</w:t>
      </w:r>
      <w:r w:rsidR="00303A82">
        <w:t xml:space="preserve"> and </w:t>
      </w:r>
      <w:r w:rsidR="00A96554">
        <w:t>mainstream education in Australia is a good example of this</w:t>
      </w:r>
      <w:r>
        <w:t>, where a small data set available in some states has diminished to no apparent public reporting in recent years</w:t>
      </w:r>
      <w:r w:rsidR="00A96554">
        <w:t>.</w:t>
      </w:r>
    </w:p>
    <w:p w14:paraId="5409D752" w14:textId="18964466" w:rsidR="00CA25B9" w:rsidRDefault="00CA25B9" w:rsidP="00CE427B">
      <w:pPr>
        <w:spacing w:line="276" w:lineRule="auto"/>
      </w:pPr>
    </w:p>
    <w:p w14:paraId="57CACE33" w14:textId="155F361D" w:rsidR="00CA25B9" w:rsidRDefault="00CA25B9" w:rsidP="00CE427B">
      <w:pPr>
        <w:pStyle w:val="Heading1"/>
      </w:pPr>
      <w:bookmarkStart w:id="34" w:name="_Toc49462453"/>
      <w:r>
        <w:t>Structure of this report</w:t>
      </w:r>
      <w:bookmarkEnd w:id="34"/>
    </w:p>
    <w:p w14:paraId="2F3BD678" w14:textId="56E8F0E9" w:rsidR="00CA25B9" w:rsidRDefault="00CA25B9" w:rsidP="00811AD6">
      <w:pPr>
        <w:spacing w:line="276" w:lineRule="auto"/>
      </w:pPr>
      <w:r>
        <w:t xml:space="preserve">This report draws together the </w:t>
      </w:r>
      <w:r w:rsidR="00C73890">
        <w:t>17</w:t>
      </w:r>
      <w:r>
        <w:t xml:space="preserve"> evidence pieces about what we know influences the employment outcomes of people with intellectual disability. The pieces are </w:t>
      </w:r>
      <w:proofErr w:type="spellStart"/>
      <w:r>
        <w:t>organi</w:t>
      </w:r>
      <w:r w:rsidR="00823B97">
        <w:t>s</w:t>
      </w:r>
      <w:r>
        <w:t>ed</w:t>
      </w:r>
      <w:proofErr w:type="spellEnd"/>
      <w:r>
        <w:t xml:space="preserve"> in a logical way, commencing with an overview of the factors, progressing through to programs that have shown efficacy in addressing the employment needs of people with intellectual disability</w:t>
      </w:r>
      <w:r w:rsidR="00D71E23">
        <w:t>, and ending with the outcomes of open employment for people with intellectual disability.</w:t>
      </w:r>
    </w:p>
    <w:p w14:paraId="79695A5A" w14:textId="77777777" w:rsidR="00E53DB1" w:rsidRDefault="00E53DB1" w:rsidP="00CE427B">
      <w:pPr>
        <w:spacing w:line="276" w:lineRule="auto"/>
        <w:sectPr w:rsidR="00E53DB1" w:rsidSect="00D71E23">
          <w:pgSz w:w="11909" w:h="16834" w:code="9"/>
          <w:pgMar w:top="964" w:right="964" w:bottom="964" w:left="964" w:header="737" w:footer="737" w:gutter="0"/>
          <w:cols w:space="720"/>
          <w:titlePg/>
          <w:docGrid w:linePitch="286"/>
        </w:sectPr>
      </w:pPr>
    </w:p>
    <w:p w14:paraId="5CBB80EE" w14:textId="4C1DE0C5" w:rsidR="00926A4F" w:rsidRDefault="00926A4F" w:rsidP="00EF3157">
      <w:pPr>
        <w:pStyle w:val="Heading1"/>
      </w:pPr>
      <w:bookmarkStart w:id="35" w:name="_Toc49462454"/>
      <w:r>
        <w:lastRenderedPageBreak/>
        <w:t>Synthesis: how can employment of people with intellectual disability be fostered?</w:t>
      </w:r>
      <w:bookmarkEnd w:id="35"/>
    </w:p>
    <w:p w14:paraId="7BA40C9D" w14:textId="0945864B" w:rsidR="00EF3157" w:rsidRDefault="00EF3157" w:rsidP="00811AD6"/>
    <w:p w14:paraId="5F84DB98" w14:textId="04ED7110" w:rsidR="00EF3157" w:rsidRDefault="00EF3157" w:rsidP="00811AD6">
      <w:pPr>
        <w:spacing w:line="276" w:lineRule="auto"/>
      </w:pPr>
      <w:r>
        <w:t xml:space="preserve">People with intellectual disability experience low rates of employment in Australia and around the world and, when they are employed, are less likely to work in open employment than their peers with </w:t>
      </w:r>
      <w:r w:rsidR="00B13F3C">
        <w:t xml:space="preserve">other types of </w:t>
      </w:r>
      <w:r>
        <w:t>disability</w:t>
      </w:r>
      <w:r w:rsidRPr="00B13F3C">
        <w:t>.</w:t>
      </w:r>
      <w:r w:rsidR="007D33DC" w:rsidRPr="00B13F3C">
        <w:t xml:space="preserve"> In Australia, </w:t>
      </w:r>
      <w:proofErr w:type="gramStart"/>
      <w:r w:rsidR="007D33DC" w:rsidRPr="00B13F3C">
        <w:t>the majority of</w:t>
      </w:r>
      <w:proofErr w:type="gramEnd"/>
      <w:r w:rsidR="007D33DC" w:rsidRPr="00B13F3C">
        <w:t xml:space="preserve"> people with intellectual disability who work do so part time</w:t>
      </w:r>
      <w:r w:rsidR="00B13F3C" w:rsidRPr="00B13F3C">
        <w:t>. This data suggests that preferences for part time work</w:t>
      </w:r>
      <w:r w:rsidR="007D33DC" w:rsidRPr="00B13F3C">
        <w:t xml:space="preserve"> </w:t>
      </w:r>
      <w:r w:rsidR="00B13F3C" w:rsidRPr="00B13F3C">
        <w:t>need to be accommodated in job design and employment policy.</w:t>
      </w:r>
      <w:r w:rsidR="00B13F3C">
        <w:t xml:space="preserve"> </w:t>
      </w:r>
    </w:p>
    <w:p w14:paraId="4FCDBAFB" w14:textId="6DC557B5" w:rsidR="00EF3157" w:rsidRDefault="00EF3157" w:rsidP="00811AD6">
      <w:pPr>
        <w:spacing w:line="276" w:lineRule="auto"/>
      </w:pPr>
      <w:r>
        <w:t xml:space="preserve">The factors that contribute to </w:t>
      </w:r>
      <w:r w:rsidR="007D33DC">
        <w:t>these</w:t>
      </w:r>
      <w:r>
        <w:t xml:space="preserve"> poor outcomes are self-reinforcing. Low expectations about the capacity of people with intellectual </w:t>
      </w:r>
      <w:r w:rsidR="007D33DC">
        <w:t xml:space="preserve">disability </w:t>
      </w:r>
      <w:r>
        <w:t>as workers, held by family members, employers, other stakeholders (such as teachers and careers advisors) and sometimes by people with disability themselves, lead to a lack of engagement with work as a</w:t>
      </w:r>
      <w:r w:rsidR="007D33DC">
        <w:t xml:space="preserve"> life</w:t>
      </w:r>
      <w:r>
        <w:t xml:space="preserve"> option, which in turn reinforces low expectations.</w:t>
      </w:r>
    </w:p>
    <w:p w14:paraId="1EDC10AC" w14:textId="7B2B9AEA" w:rsidR="00EF3157" w:rsidRDefault="00EF3157" w:rsidP="00811AD6">
      <w:pPr>
        <w:spacing w:line="276" w:lineRule="auto"/>
      </w:pPr>
      <w:r>
        <w:t>However, there is evidence that this negative circle can be broken. When people with intellectual disability gain paid and unpaid work and work experience, they, their families and employers witness their capacity for employment</w:t>
      </w:r>
      <w:r w:rsidR="007D33DC">
        <w:t xml:space="preserve"> and the employer’s capacity to accommodate them</w:t>
      </w:r>
      <w:r w:rsidR="00B13F3C">
        <w:t xml:space="preserve">. As a result, </w:t>
      </w:r>
      <w:r>
        <w:t xml:space="preserve">expectations </w:t>
      </w:r>
      <w:r w:rsidR="00B13F3C">
        <w:t xml:space="preserve">of all parties </w:t>
      </w:r>
      <w:r>
        <w:t xml:space="preserve">rise. When expectations about work are high to start with, opportunities for work experience and work increase. Taken together, raising expectations and access to work experience (of diverse types) </w:t>
      </w:r>
      <w:r w:rsidR="001D4FFF">
        <w:t xml:space="preserve">dramatically </w:t>
      </w:r>
      <w:r>
        <w:t>increases employment outcomes in open employment.</w:t>
      </w:r>
      <w:r w:rsidR="001D4FFF">
        <w:t xml:space="preserve"> The evidence for this </w:t>
      </w:r>
      <w:proofErr w:type="gramStart"/>
      <w:r w:rsidR="001D4FFF">
        <w:t>in regard to</w:t>
      </w:r>
      <w:proofErr w:type="gramEnd"/>
      <w:r w:rsidR="001D4FFF">
        <w:t xml:space="preserve"> young people with intellectual disability is particularly strong.</w:t>
      </w:r>
    </w:p>
    <w:p w14:paraId="71FF2C0A" w14:textId="53D2A066" w:rsidR="001D4FFF" w:rsidRDefault="001D4FFF" w:rsidP="00811AD6">
      <w:pPr>
        <w:spacing w:line="276" w:lineRule="auto"/>
      </w:pPr>
      <w:r>
        <w:t>Planning for this pathway to work is critical</w:t>
      </w:r>
      <w:r w:rsidR="009A0701">
        <w:t xml:space="preserve">. There is evidence that this should formally commence by the age of 14 years and that quality transition planning from this age, complete with work experience and training opportunities (such as School Based Apprenticeships and Traineeships) will increase employment outcomes for young people with intellectual disability. This </w:t>
      </w:r>
      <w:proofErr w:type="gramStart"/>
      <w:r w:rsidR="009A0701">
        <w:t>is in contrast to</w:t>
      </w:r>
      <w:proofErr w:type="gramEnd"/>
      <w:r w:rsidR="009A0701">
        <w:t xml:space="preserve"> what is reported as current practice around short, limited transition planning conducted in the last year of school.</w:t>
      </w:r>
    </w:p>
    <w:p w14:paraId="52605015" w14:textId="07CBD980" w:rsidR="009A0701" w:rsidRDefault="007D33DC" w:rsidP="00811AD6">
      <w:pPr>
        <w:spacing w:line="276" w:lineRule="auto"/>
      </w:pPr>
      <w:r>
        <w:t>P</w:t>
      </w:r>
      <w:r w:rsidR="009A0701">
        <w:t xml:space="preserve">lanning the pathway to employment and ‘discovering’ the individual’s preferences, interests, strengths and support needs in a work context is also a feature of programs for older adults with intellectual disability that result in employment. This high level of focus on the individual is critical and, in programs with evidence of success, is supported by skilled vocational or employment specialists. </w:t>
      </w:r>
    </w:p>
    <w:p w14:paraId="3AE0207A" w14:textId="65E066C7" w:rsidR="009A0701" w:rsidRDefault="009A0701" w:rsidP="00811AD6">
      <w:pPr>
        <w:spacing w:line="276" w:lineRule="auto"/>
      </w:pPr>
      <w:r>
        <w:t>There is clear evidence of what programs are successful in increasing employment for people</w:t>
      </w:r>
      <w:r w:rsidR="007A0FA6">
        <w:t xml:space="preserve"> with</w:t>
      </w:r>
      <w:r>
        <w:t xml:space="preserve"> intellectual disability. However, the examples of these in Australia are limited and often temporary, despite good results. Features of effective programs</w:t>
      </w:r>
      <w:r w:rsidR="007A0FA6">
        <w:t xml:space="preserve"> (internationally and domestically)</w:t>
      </w:r>
      <w:r>
        <w:t xml:space="preserve"> include:</w:t>
      </w:r>
    </w:p>
    <w:p w14:paraId="2058A624" w14:textId="45F56BCB" w:rsidR="009A0701" w:rsidRDefault="009A0701" w:rsidP="00811AD6">
      <w:pPr>
        <w:pStyle w:val="ListParagraph"/>
        <w:numPr>
          <w:ilvl w:val="0"/>
          <w:numId w:val="71"/>
        </w:numPr>
        <w:spacing w:line="276" w:lineRule="auto"/>
      </w:pPr>
      <w:r>
        <w:t xml:space="preserve">A high level of job </w:t>
      </w:r>
      <w:proofErr w:type="spellStart"/>
      <w:r>
        <w:t>customi</w:t>
      </w:r>
      <w:r w:rsidR="00823B97">
        <w:t>s</w:t>
      </w:r>
      <w:r>
        <w:t>ation</w:t>
      </w:r>
      <w:proofErr w:type="spellEnd"/>
      <w:r>
        <w:t xml:space="preserve"> to suit the needs and interests of the individual with intellectual disability and the employer</w:t>
      </w:r>
      <w:r w:rsidR="00B80B02">
        <w:t xml:space="preserve">, including job carving, </w:t>
      </w:r>
      <w:r w:rsidR="001C27AB">
        <w:t>job sharing and job creation</w:t>
      </w:r>
      <w:r w:rsidR="007D33DC">
        <w:t>;</w:t>
      </w:r>
    </w:p>
    <w:p w14:paraId="7B9648E6" w14:textId="6950EE60" w:rsidR="00EF3157" w:rsidRDefault="007D33DC" w:rsidP="00811AD6">
      <w:pPr>
        <w:pStyle w:val="ListParagraph"/>
        <w:numPr>
          <w:ilvl w:val="0"/>
          <w:numId w:val="71"/>
        </w:numPr>
        <w:spacing w:line="276" w:lineRule="auto"/>
      </w:pPr>
      <w:r>
        <w:t>Proactively seeking job opportunities and connecting individual jobseekers to employers, instead of waiting for job vacancies to be advertised</w:t>
      </w:r>
      <w:r w:rsidR="007A0FA6">
        <w:t>;</w:t>
      </w:r>
    </w:p>
    <w:p w14:paraId="60D5BBDB" w14:textId="0A804F2F" w:rsidR="007A0FA6" w:rsidRDefault="007A0FA6" w:rsidP="00811AD6">
      <w:pPr>
        <w:pStyle w:val="ListParagraph"/>
        <w:numPr>
          <w:ilvl w:val="0"/>
          <w:numId w:val="71"/>
        </w:numPr>
        <w:spacing w:line="276" w:lineRule="auto"/>
      </w:pPr>
      <w:r>
        <w:t>On-the-job training or on-site training mixed with work experience;</w:t>
      </w:r>
    </w:p>
    <w:p w14:paraId="47D19E69" w14:textId="41FF8FC2" w:rsidR="007A0FA6" w:rsidRDefault="007A0FA6" w:rsidP="00811AD6">
      <w:pPr>
        <w:pStyle w:val="ListParagraph"/>
        <w:numPr>
          <w:ilvl w:val="0"/>
          <w:numId w:val="71"/>
        </w:numPr>
        <w:spacing w:line="276" w:lineRule="auto"/>
      </w:pPr>
      <w:r>
        <w:t>Time un-limited support in the workplace to continue to acquire work-related skills and capacity to independently access and maintain employment;</w:t>
      </w:r>
    </w:p>
    <w:p w14:paraId="5F2353C1" w14:textId="46BE7C99" w:rsidR="007A0FA6" w:rsidRDefault="007A0FA6" w:rsidP="00811AD6">
      <w:pPr>
        <w:pStyle w:val="ListParagraph"/>
        <w:numPr>
          <w:ilvl w:val="0"/>
          <w:numId w:val="71"/>
        </w:numPr>
        <w:spacing w:line="276" w:lineRule="auto"/>
      </w:pPr>
      <w:r>
        <w:t xml:space="preserve">The role of employment brokers or vocational specialists to work across disability support services, health services (such as mental health services), employment services, training </w:t>
      </w:r>
      <w:proofErr w:type="spellStart"/>
      <w:r>
        <w:t>organisations</w:t>
      </w:r>
      <w:proofErr w:type="spellEnd"/>
      <w:r>
        <w:t>, schools, employers, families and jobseekers</w:t>
      </w:r>
      <w:r w:rsidR="004D352E">
        <w:t>, based on evidence-based models of practice</w:t>
      </w:r>
      <w:r w:rsidR="00962FAF">
        <w:t>.</w:t>
      </w:r>
    </w:p>
    <w:p w14:paraId="325A9983" w14:textId="7619A5BC" w:rsidR="00EC1B08" w:rsidRDefault="00EC1B08" w:rsidP="00811AD6">
      <w:pPr>
        <w:spacing w:line="276" w:lineRule="auto"/>
      </w:pPr>
      <w:r>
        <w:t xml:space="preserve">Overall, the evidence offers clear mechanisms for supporting individuals with intellectual disability to gain employment. In the main, the necessary ingredients are a </w:t>
      </w:r>
      <w:r w:rsidRPr="00EC6DD3">
        <w:rPr>
          <w:b/>
          <w:bCs/>
        </w:rPr>
        <w:t>combination</w:t>
      </w:r>
      <w:r>
        <w:t xml:space="preserve"> of </w:t>
      </w:r>
      <w:r w:rsidRPr="00EC1B08">
        <w:rPr>
          <w:b/>
          <w:bCs/>
        </w:rPr>
        <w:t xml:space="preserve">highly </w:t>
      </w:r>
      <w:proofErr w:type="spellStart"/>
      <w:r w:rsidRPr="00EC1B08">
        <w:rPr>
          <w:b/>
          <w:bCs/>
        </w:rPr>
        <w:t>individuali</w:t>
      </w:r>
      <w:r w:rsidR="00823B97">
        <w:rPr>
          <w:b/>
          <w:bCs/>
        </w:rPr>
        <w:t>s</w:t>
      </w:r>
      <w:r w:rsidRPr="00EC1B08">
        <w:rPr>
          <w:b/>
          <w:bCs/>
        </w:rPr>
        <w:t>ed</w:t>
      </w:r>
      <w:proofErr w:type="spellEnd"/>
      <w:r w:rsidRPr="00EC1B08">
        <w:rPr>
          <w:b/>
          <w:bCs/>
        </w:rPr>
        <w:t xml:space="preserve"> strategies</w:t>
      </w:r>
      <w:r>
        <w:t xml:space="preserve"> (focused on the unique attributes of the person with intellectual disability and their context) </w:t>
      </w:r>
      <w:r w:rsidRPr="00EC1B08">
        <w:rPr>
          <w:b/>
          <w:bCs/>
        </w:rPr>
        <w:t>supported by programmatic structures</w:t>
      </w:r>
      <w:r>
        <w:t xml:space="preserve"> that deliver a range of supported opportunities. </w:t>
      </w:r>
    </w:p>
    <w:p w14:paraId="0E272F52" w14:textId="3B4DAB64" w:rsidR="00D82A38" w:rsidRPr="00EF3157" w:rsidRDefault="00EC1B08" w:rsidP="00811AD6">
      <w:pPr>
        <w:spacing w:line="276" w:lineRule="auto"/>
        <w:sectPr w:rsidR="00D82A38" w:rsidRPr="00EF3157" w:rsidSect="008926C2">
          <w:headerReference w:type="default" r:id="rId14"/>
          <w:footerReference w:type="default" r:id="rId15"/>
          <w:pgSz w:w="11909" w:h="16834" w:code="9"/>
          <w:pgMar w:top="964" w:right="964" w:bottom="964" w:left="964" w:header="431" w:footer="720" w:gutter="0"/>
          <w:cols w:space="720"/>
          <w:docGrid w:linePitch="360"/>
        </w:sectPr>
      </w:pPr>
      <w:r>
        <w:lastRenderedPageBreak/>
        <w:t>Finally</w:t>
      </w:r>
      <w:r w:rsidR="00D82A38">
        <w:t>, this review focused on the factors effecting employment at the micro and meso levels of the ‘employment ecosystem’ (Nicholas et al.</w:t>
      </w:r>
      <w:r w:rsidR="00191BC6">
        <w:t>,</w:t>
      </w:r>
      <w:r w:rsidR="00D82A38">
        <w:t xml:space="preserve"> 2018), that is, those to do with supports for individuals with intellectual disability</w:t>
      </w:r>
      <w:r w:rsidR="002A37ED">
        <w:t xml:space="preserve">, </w:t>
      </w:r>
      <w:r w:rsidR="00D82A38">
        <w:t>families</w:t>
      </w:r>
      <w:r w:rsidR="002A37ED">
        <w:t xml:space="preserve"> and</w:t>
      </w:r>
      <w:r w:rsidR="00D82A38">
        <w:t xml:space="preserve"> employers. In addition to these factors, a range of</w:t>
      </w:r>
      <w:r w:rsidR="002A37ED">
        <w:t xml:space="preserve"> barriers to employment exist at the macro level</w:t>
      </w:r>
      <w:r w:rsidR="00962FAF">
        <w:t xml:space="preserve"> -</w:t>
      </w:r>
      <w:r w:rsidR="000C3F59">
        <w:t xml:space="preserve"> the arena of government policy and public attitudes</w:t>
      </w:r>
      <w:r w:rsidR="00962FAF">
        <w:t xml:space="preserve"> -</w:t>
      </w:r>
      <w:r w:rsidR="002A37ED">
        <w:t xml:space="preserve"> that significantly construct and reinforce the low employment </w:t>
      </w:r>
      <w:r w:rsidR="000C3F59">
        <w:t xml:space="preserve">rate </w:t>
      </w:r>
      <w:r w:rsidR="002A37ED">
        <w:t>of people with intellectual disability. These include disability income support policy and disability employment policy and programs</w:t>
      </w:r>
      <w:r w:rsidR="000C3F59">
        <w:t>.</w:t>
      </w:r>
      <w:r w:rsidR="002A37ED">
        <w:t xml:space="preserve"> </w:t>
      </w:r>
      <w:r w:rsidR="000C3F59">
        <w:t xml:space="preserve">A focus on macro level barriers to employment of people </w:t>
      </w:r>
      <w:r w:rsidR="00962FAF">
        <w:t xml:space="preserve">with intellectual disability </w:t>
      </w:r>
      <w:r w:rsidR="000C3F59">
        <w:t xml:space="preserve">were not part of this review, though a </w:t>
      </w:r>
      <w:r>
        <w:t xml:space="preserve">literature set including </w:t>
      </w:r>
      <w:proofErr w:type="gramStart"/>
      <w:r>
        <w:t>a number of</w:t>
      </w:r>
      <w:proofErr w:type="gramEnd"/>
      <w:r>
        <w:t xml:space="preserve"> public inquiries and international research is available to inform change in this area</w:t>
      </w:r>
      <w:r w:rsidR="002A37ED">
        <w:t xml:space="preserve">. </w:t>
      </w:r>
    </w:p>
    <w:p w14:paraId="69DDC80E" w14:textId="50155043" w:rsidR="00E53DB1" w:rsidRDefault="00E53DB1" w:rsidP="00CE427B">
      <w:pPr>
        <w:pStyle w:val="Heading1"/>
        <w:pBdr>
          <w:bottom w:val="single" w:sz="4" w:space="1" w:color="auto"/>
        </w:pBdr>
      </w:pPr>
      <w:bookmarkStart w:id="36" w:name="_Toc49462455"/>
      <w:r>
        <w:lastRenderedPageBreak/>
        <w:t>Evidence piece 1:</w:t>
      </w:r>
      <w:bookmarkEnd w:id="36"/>
    </w:p>
    <w:p w14:paraId="6742A638" w14:textId="7DFDC2DE" w:rsidR="00E53DB1" w:rsidRDefault="00E53DB1" w:rsidP="00CE427B">
      <w:pPr>
        <w:pStyle w:val="Heading1"/>
        <w:pBdr>
          <w:bottom w:val="single" w:sz="4" w:space="1" w:color="auto"/>
        </w:pBdr>
      </w:pPr>
      <w:bookmarkStart w:id="37" w:name="_Toc49462456"/>
      <w:r>
        <w:t>Factors positively influencing the employment of people with intellectual disability</w:t>
      </w:r>
      <w:bookmarkEnd w:id="37"/>
    </w:p>
    <w:p w14:paraId="02EF8DFC" w14:textId="77777777" w:rsidR="00E53DB1" w:rsidRPr="00EA7A43" w:rsidRDefault="00E53DB1" w:rsidP="00CE427B"/>
    <w:p w14:paraId="3B26B5A5" w14:textId="77777777" w:rsidR="00E53DB1" w:rsidRDefault="00E53DB1" w:rsidP="00CE427B">
      <w:pPr>
        <w:pStyle w:val="Heading2"/>
        <w:spacing w:line="276" w:lineRule="auto"/>
      </w:pPr>
      <w:bookmarkStart w:id="38" w:name="_Toc49417875"/>
      <w:r>
        <w:t>The problem</w:t>
      </w:r>
      <w:bookmarkEnd w:id="38"/>
    </w:p>
    <w:p w14:paraId="57133E27" w14:textId="77777777" w:rsidR="00E53DB1" w:rsidRDefault="00E53DB1" w:rsidP="00AB33D0">
      <w:pPr>
        <w:spacing w:line="276" w:lineRule="auto"/>
      </w:pPr>
      <w:r>
        <w:t>People with intellectual disability experience low rates of employment in Australia and around the world and, when they are employed, are less likely to work in inclusive settings than their peers with disability.</w:t>
      </w:r>
    </w:p>
    <w:p w14:paraId="18444C64" w14:textId="6667CEA5" w:rsidR="00E53DB1" w:rsidRDefault="00E53DB1" w:rsidP="00AB33D0">
      <w:pPr>
        <w:spacing w:line="276" w:lineRule="auto"/>
      </w:pPr>
      <w:r>
        <w:t xml:space="preserve">In 2012, in Australia, only 39% of people with intellectual disability were in the </w:t>
      </w:r>
      <w:proofErr w:type="spellStart"/>
      <w:r>
        <w:t>labour</w:t>
      </w:r>
      <w:proofErr w:type="spellEnd"/>
      <w:r>
        <w:t xml:space="preserve"> force (including a mix of seeking employment, being employed in ADEs and open employment). This compares to 55% of people with other disabilities and 83% of people without disability in the </w:t>
      </w:r>
      <w:proofErr w:type="spellStart"/>
      <w:r>
        <w:t>labour</w:t>
      </w:r>
      <w:proofErr w:type="spellEnd"/>
      <w:r>
        <w:t xml:space="preserve"> force. Additionally, only 12% of people with an intellectual disability were employed full-time compared to 32% of people with other disabilities (ABS, 2012; </w:t>
      </w:r>
      <w:proofErr w:type="spellStart"/>
      <w:r>
        <w:t>Thoresen</w:t>
      </w:r>
      <w:proofErr w:type="spellEnd"/>
      <w:r>
        <w:t xml:space="preserve"> et al.</w:t>
      </w:r>
      <w:r w:rsidR="0087320F">
        <w:t>,</w:t>
      </w:r>
      <w:r>
        <w:t xml:space="preserve"> 2018). More recent data does not distinguish between intellectual and other disabilities but overall there has been little change between 2003 and 2015, though the rate of employment of people with severe or profound activity limitation has decreased from 27% in 2003 to 22% in 2015 (</w:t>
      </w:r>
      <w:r w:rsidR="004D2071" w:rsidRPr="00165E8D">
        <w:rPr>
          <w:rFonts w:asciiTheme="minorHAnsi" w:hAnsiTheme="minorHAnsi"/>
          <w:szCs w:val="21"/>
        </w:rPr>
        <w:t>A</w:t>
      </w:r>
      <w:r w:rsidR="004D2071">
        <w:rPr>
          <w:rFonts w:asciiTheme="minorHAnsi" w:hAnsiTheme="minorHAnsi"/>
          <w:szCs w:val="21"/>
        </w:rPr>
        <w:t>ustralian Institute of Health and Welfare</w:t>
      </w:r>
      <w:r>
        <w:t>, 2017). Data recently released by the National Disability Insurance Agency (2019) shows that 18% of NDIS participants with an intellectual disability aged 15-24 had a paid job, the same level as all NDIS participants (when taken as a group). Interestingly, NDIS participants with an intellectual disability aged 25 and above were more likely to be employed than their peers in the NDIS: 31% of people with intellectual disability were in a paid job compared to 23% of other NDIA participants, though paid work includes ADE as well as open employment settings.</w:t>
      </w:r>
    </w:p>
    <w:p w14:paraId="0F33533A" w14:textId="5007B3B6" w:rsidR="00E53DB1" w:rsidRPr="00165E8D" w:rsidRDefault="00E53DB1" w:rsidP="00AB33D0">
      <w:pPr>
        <w:spacing w:line="276" w:lineRule="auto"/>
        <w:rPr>
          <w:szCs w:val="21"/>
        </w:rPr>
      </w:pPr>
      <w:r>
        <w:t xml:space="preserve">People with intellectual disability have lower uptake of employment as they leave school and are more likely to </w:t>
      </w:r>
      <w:r w:rsidRPr="00165E8D">
        <w:rPr>
          <w:szCs w:val="21"/>
        </w:rPr>
        <w:t xml:space="preserve">leave the </w:t>
      </w:r>
      <w:proofErr w:type="spellStart"/>
      <w:r w:rsidRPr="00165E8D">
        <w:rPr>
          <w:szCs w:val="21"/>
        </w:rPr>
        <w:t>labour</w:t>
      </w:r>
      <w:proofErr w:type="spellEnd"/>
      <w:r w:rsidRPr="00165E8D">
        <w:rPr>
          <w:szCs w:val="21"/>
        </w:rPr>
        <w:t xml:space="preserve"> market in their 30s. </w:t>
      </w:r>
    </w:p>
    <w:p w14:paraId="5DFF1ACA" w14:textId="78360C10" w:rsidR="00E53DB1" w:rsidRPr="00165E8D" w:rsidRDefault="00E53DB1" w:rsidP="00AB33D0">
      <w:pPr>
        <w:pStyle w:val="AIHWbodytext"/>
        <w:spacing w:before="120" w:line="276" w:lineRule="auto"/>
        <w:ind w:left="360"/>
        <w:rPr>
          <w:rFonts w:asciiTheme="minorHAnsi" w:hAnsiTheme="minorHAnsi"/>
          <w:sz w:val="21"/>
          <w:szCs w:val="21"/>
        </w:rPr>
      </w:pPr>
      <w:r w:rsidRPr="00165E8D">
        <w:rPr>
          <w:rFonts w:asciiTheme="minorHAnsi" w:hAnsiTheme="minorHAnsi"/>
          <w:sz w:val="21"/>
          <w:szCs w:val="21"/>
        </w:rPr>
        <w:t>On finishing school, people with intellectual disability are far less likely to move into post-secondary education or the labour force than their age peers without disability. In 2003, the labour force participation rate of those aged in their 20s was around 60% and between 34% and 46% for those aged in their 30s, well below the 85% participation by young adults without disability. Transitions out of the labour force were common at ages 30–34 years and onwards, possibly highlighting difficulties for people with intellectual disability in maintaining employment and a need for those who do leave a job to find alternative means of social participation (A</w:t>
      </w:r>
      <w:r w:rsidR="004D2071">
        <w:rPr>
          <w:rFonts w:asciiTheme="minorHAnsi" w:hAnsiTheme="minorHAnsi"/>
          <w:sz w:val="21"/>
          <w:szCs w:val="21"/>
        </w:rPr>
        <w:t>ustralian Institute of Health and Welfare</w:t>
      </w:r>
      <w:r w:rsidRPr="00165E8D">
        <w:rPr>
          <w:rFonts w:asciiTheme="minorHAnsi" w:hAnsiTheme="minorHAnsi"/>
          <w:sz w:val="21"/>
          <w:szCs w:val="21"/>
        </w:rPr>
        <w:t>, 2008, pp.</w:t>
      </w:r>
      <w:r w:rsidR="00AB33D0">
        <w:rPr>
          <w:rFonts w:asciiTheme="minorHAnsi" w:hAnsiTheme="minorHAnsi"/>
          <w:sz w:val="21"/>
          <w:szCs w:val="21"/>
        </w:rPr>
        <w:t xml:space="preserve"> </w:t>
      </w:r>
      <w:r w:rsidRPr="00165E8D">
        <w:rPr>
          <w:rFonts w:asciiTheme="minorHAnsi" w:hAnsiTheme="minorHAnsi"/>
          <w:sz w:val="21"/>
          <w:szCs w:val="21"/>
        </w:rPr>
        <w:t>2-3)</w:t>
      </w:r>
      <w:r w:rsidR="000439FE">
        <w:rPr>
          <w:rFonts w:asciiTheme="minorHAnsi" w:hAnsiTheme="minorHAnsi"/>
          <w:sz w:val="21"/>
          <w:szCs w:val="21"/>
        </w:rPr>
        <w:t>.</w:t>
      </w:r>
    </w:p>
    <w:p w14:paraId="1EB3AAB3" w14:textId="77777777" w:rsidR="00E53DB1" w:rsidRPr="00371E55" w:rsidRDefault="00E53DB1" w:rsidP="00CE427B">
      <w:pPr>
        <w:pStyle w:val="Heading2"/>
        <w:spacing w:line="276" w:lineRule="auto"/>
      </w:pPr>
      <w:bookmarkStart w:id="39" w:name="_Toc49417876"/>
      <w:r>
        <w:t>Why do people with intellectual disability have lower rates of employment than the general population?</w:t>
      </w:r>
      <w:bookmarkEnd w:id="39"/>
    </w:p>
    <w:p w14:paraId="6F144A73" w14:textId="00D05D1A" w:rsidR="00E53DB1" w:rsidRPr="00371E55" w:rsidRDefault="00E53DB1" w:rsidP="00FE791C">
      <w:pPr>
        <w:autoSpaceDE w:val="0"/>
        <w:autoSpaceDN w:val="0"/>
        <w:adjustRightInd w:val="0"/>
        <w:spacing w:line="276" w:lineRule="auto"/>
        <w:ind w:left="360" w:right="360"/>
        <w:rPr>
          <w:rFonts w:cs="Times-Roman"/>
        </w:rPr>
      </w:pPr>
      <w:r w:rsidRPr="00E728EF">
        <w:rPr>
          <w:rFonts w:cs="Times-Roman"/>
        </w:rPr>
        <w:t>Perceived ‘unemployability’ has been synonymous with</w:t>
      </w:r>
      <w:r>
        <w:rPr>
          <w:rFonts w:cs="Times-Roman"/>
        </w:rPr>
        <w:t xml:space="preserve"> </w:t>
      </w:r>
      <w:r w:rsidRPr="00E728EF">
        <w:rPr>
          <w:rFonts w:cs="Times-Roman"/>
        </w:rPr>
        <w:t>the identity of adults with intellectual disability</w:t>
      </w:r>
      <w:r>
        <w:rPr>
          <w:rFonts w:cs="Times-Roman"/>
        </w:rPr>
        <w:t xml:space="preserve"> </w:t>
      </w:r>
      <w:r w:rsidRPr="00E728EF">
        <w:rPr>
          <w:rFonts w:cs="Times-Roman"/>
        </w:rPr>
        <w:t>for the last century (</w:t>
      </w:r>
      <w:proofErr w:type="spellStart"/>
      <w:r w:rsidRPr="00E728EF">
        <w:rPr>
          <w:rFonts w:cs="Times-Roman"/>
        </w:rPr>
        <w:t>Thoresen</w:t>
      </w:r>
      <w:proofErr w:type="spellEnd"/>
      <w:r w:rsidRPr="00E728EF">
        <w:rPr>
          <w:rFonts w:cs="Times-Roman"/>
        </w:rPr>
        <w:t xml:space="preserve"> et al.</w:t>
      </w:r>
      <w:r w:rsidR="0087320F">
        <w:rPr>
          <w:rFonts w:cs="Times-Roman"/>
        </w:rPr>
        <w:t>,</w:t>
      </w:r>
      <w:r w:rsidRPr="00E728EF">
        <w:rPr>
          <w:rFonts w:cs="Times-Roman"/>
        </w:rPr>
        <w:t xml:space="preserve"> 2018, p.</w:t>
      </w:r>
      <w:r w:rsidR="0087320F">
        <w:rPr>
          <w:rFonts w:cs="Times-Roman"/>
        </w:rPr>
        <w:t xml:space="preserve"> </w:t>
      </w:r>
      <w:r w:rsidRPr="00E728EF">
        <w:rPr>
          <w:rFonts w:cs="Times-Roman"/>
        </w:rPr>
        <w:t>161)</w:t>
      </w:r>
      <w:r w:rsidR="000439FE" w:rsidRPr="000439FE">
        <w:t>.</w:t>
      </w:r>
    </w:p>
    <w:p w14:paraId="78791EBA" w14:textId="3539E1EE" w:rsidR="00E53DB1" w:rsidRDefault="00E53DB1" w:rsidP="00CE427B">
      <w:pPr>
        <w:spacing w:line="276" w:lineRule="auto"/>
      </w:pPr>
      <w:r>
        <w:t xml:space="preserve">There is no single factor that explains why people with disability have lower rates of economic participation than others. Research suggests that it is a result of the broader environment of negative attitudes, lack of supports for employers, the policy environment, as well as the aspirations and skills of people with disability, limited expectations of their parents and supporters, and a lack of supports available to assist them </w:t>
      </w:r>
      <w:proofErr w:type="spellStart"/>
      <w:r>
        <w:t>customi</w:t>
      </w:r>
      <w:r w:rsidR="002B6DA9">
        <w:t>s</w:t>
      </w:r>
      <w:r>
        <w:t>e</w:t>
      </w:r>
      <w:proofErr w:type="spellEnd"/>
      <w:r>
        <w:t xml:space="preserve"> and undertake a job.</w:t>
      </w:r>
    </w:p>
    <w:p w14:paraId="599CB6A3" w14:textId="77777777" w:rsidR="00E53DB1" w:rsidRDefault="00E53DB1" w:rsidP="00CE427B">
      <w:pPr>
        <w:pStyle w:val="Heading2"/>
        <w:spacing w:line="276" w:lineRule="auto"/>
      </w:pPr>
      <w:bookmarkStart w:id="40" w:name="_Toc49417877"/>
      <w:r>
        <w:t>The solution</w:t>
      </w:r>
      <w:bookmarkEnd w:id="40"/>
    </w:p>
    <w:p w14:paraId="6C1768CC" w14:textId="77777777" w:rsidR="00E53DB1" w:rsidRDefault="00E53DB1" w:rsidP="00CE427B">
      <w:pPr>
        <w:spacing w:line="276" w:lineRule="auto"/>
      </w:pPr>
      <w:r>
        <w:t xml:space="preserve">Overall, a wide range of international and Australian research has identified that people with intellectual disability can be employed in open employment, can complete apprenticeships, traineeships, vocational education and training courses, participate in some University programs, and be self-employed. </w:t>
      </w:r>
    </w:p>
    <w:p w14:paraId="591C554A" w14:textId="51BA3334" w:rsidR="00E53DB1" w:rsidRDefault="00E53DB1" w:rsidP="00CE427B">
      <w:pPr>
        <w:tabs>
          <w:tab w:val="left" w:pos="360"/>
        </w:tabs>
        <w:spacing w:line="276" w:lineRule="auto"/>
        <w:ind w:left="360" w:right="360"/>
      </w:pPr>
      <w:r>
        <w:lastRenderedPageBreak/>
        <w:t xml:space="preserve">Provided adequate supports and training are in place, people with I/DD [intellectual and developmental disability] have significant long-term potential for securing competitive employment and living independently (Southward </w:t>
      </w:r>
      <w:r w:rsidR="00F938CB">
        <w:t>&amp;</w:t>
      </w:r>
      <w:r>
        <w:t xml:space="preserve"> </w:t>
      </w:r>
      <w:proofErr w:type="spellStart"/>
      <w:r>
        <w:t>Kyzar</w:t>
      </w:r>
      <w:proofErr w:type="spellEnd"/>
      <w:r>
        <w:t>, 2017, p. 26)</w:t>
      </w:r>
      <w:r w:rsidR="000439FE">
        <w:t>.</w:t>
      </w:r>
    </w:p>
    <w:p w14:paraId="2F00E967" w14:textId="77777777" w:rsidR="00E53DB1" w:rsidRDefault="00E53DB1" w:rsidP="00CE427B">
      <w:pPr>
        <w:spacing w:line="276" w:lineRule="auto"/>
      </w:pPr>
      <w:r>
        <w:t xml:space="preserve">The Australian Federation of Disability </w:t>
      </w:r>
      <w:proofErr w:type="spellStart"/>
      <w:r>
        <w:t>Organisations</w:t>
      </w:r>
      <w:proofErr w:type="spellEnd"/>
      <w:r>
        <w:t xml:space="preserve"> (AFDO) reinforces the importance of the provision of supports to people who need them. AFDO suggests:</w:t>
      </w:r>
    </w:p>
    <w:p w14:paraId="5106CF03" w14:textId="6F4B3026" w:rsidR="00E53DB1" w:rsidRDefault="00E53DB1" w:rsidP="00CE427B">
      <w:pPr>
        <w:spacing w:line="276" w:lineRule="auto"/>
        <w:ind w:left="270" w:right="360"/>
      </w:pPr>
      <w:r w:rsidRPr="00143BFD">
        <w:rPr>
          <w:rFonts w:cs="Arial"/>
        </w:rPr>
        <w:t xml:space="preserve">Supported employment </w:t>
      </w:r>
      <w:proofErr w:type="spellStart"/>
      <w:r w:rsidRPr="00143BFD">
        <w:rPr>
          <w:rFonts w:cs="Arial"/>
        </w:rPr>
        <w:t>recognises</w:t>
      </w:r>
      <w:proofErr w:type="spellEnd"/>
      <w:r w:rsidRPr="00143BFD">
        <w:rPr>
          <w:rFonts w:cs="Arial"/>
        </w:rPr>
        <w:t xml:space="preserve"> the capacity of people with disability to work with the right ongoing supports in a variety of settings that include open (mainstream) employment, mobile crews, social enterprises and small businesses (AFDO, 2018, p.</w:t>
      </w:r>
      <w:r w:rsidR="003216C7">
        <w:rPr>
          <w:rFonts w:cs="Arial"/>
        </w:rPr>
        <w:t xml:space="preserve"> </w:t>
      </w:r>
      <w:r w:rsidRPr="00143BFD">
        <w:rPr>
          <w:rFonts w:cs="Arial"/>
        </w:rPr>
        <w:t>4)</w:t>
      </w:r>
      <w:r w:rsidR="000439FE">
        <w:rPr>
          <w:rFonts w:cs="Arial"/>
        </w:rPr>
        <w:t>.</w:t>
      </w:r>
    </w:p>
    <w:p w14:paraId="0D408195" w14:textId="77777777" w:rsidR="00E53DB1" w:rsidRDefault="00E53DB1" w:rsidP="00CE427B">
      <w:pPr>
        <w:autoSpaceDE w:val="0"/>
        <w:autoSpaceDN w:val="0"/>
        <w:adjustRightInd w:val="0"/>
        <w:spacing w:line="276" w:lineRule="auto"/>
        <w:ind w:right="360"/>
      </w:pPr>
      <w:r>
        <w:t>In countries with different employment policies and different employment related supports, people with intellectual disability experience vastly better employment outcomes than they do in Australia. While noting that it is difficult to compare data, Wakeford and Waugh (2014) point out that national statistics in the US identify that 76% of young people with intellectual disability experienced open employment across an eight year period, compared to only 25% of young people with intellectual disability in Australia.</w:t>
      </w:r>
    </w:p>
    <w:p w14:paraId="7EB7DC49" w14:textId="77777777" w:rsidR="00E53DB1" w:rsidRDefault="00E53DB1" w:rsidP="00CE427B">
      <w:pPr>
        <w:autoSpaceDE w:val="0"/>
        <w:autoSpaceDN w:val="0"/>
        <w:adjustRightInd w:val="0"/>
        <w:spacing w:line="276" w:lineRule="auto"/>
        <w:ind w:right="360"/>
      </w:pPr>
      <w:r>
        <w:t>This points to a need to shift expectations about and supports for employment. Evidence that this is occurring, with support, is provided within the Ticket to Work program, encompassing strategies in both mainstream and special schools:</w:t>
      </w:r>
    </w:p>
    <w:p w14:paraId="6E8ACE55" w14:textId="0D834C08" w:rsidR="00E53DB1" w:rsidRPr="00E728EF" w:rsidRDefault="00E53DB1" w:rsidP="00CE427B">
      <w:pPr>
        <w:autoSpaceDE w:val="0"/>
        <w:autoSpaceDN w:val="0"/>
        <w:adjustRightInd w:val="0"/>
        <w:spacing w:line="276" w:lineRule="auto"/>
        <w:ind w:left="360" w:right="360"/>
        <w:rPr>
          <w:rFonts w:cs="TimesNewRomanPSMT"/>
        </w:rPr>
      </w:pPr>
      <w:r w:rsidRPr="00E728EF">
        <w:rPr>
          <w:rFonts w:cs="Arial"/>
        </w:rPr>
        <w:t xml:space="preserve">Employment used to be aimed at those ‘top edge’ students particularly for those that can read and write. What we are now doing is moving that down the IQ scale, these kids do have employability skills. So, in our school we are raising the employment aspirations of all students in our school. We discuss careers and all types of employment such as paid full time, part time and casual employment as well as voluntary and supported employment....... It means that those students that used to do training and recreation programs at day services once leaving school can consider paid and volunteer employment also. It’s a real recognition of what they can do and that they are all employable (Principal, special school, Ticket to Work partner) (Wakeford </w:t>
      </w:r>
      <w:r w:rsidR="00832B77">
        <w:rPr>
          <w:rFonts w:cs="Arial"/>
        </w:rPr>
        <w:t>&amp;</w:t>
      </w:r>
      <w:r w:rsidRPr="00E728EF">
        <w:rPr>
          <w:rFonts w:cs="Arial"/>
        </w:rPr>
        <w:t xml:space="preserve"> Waugh, 2014, p. </w:t>
      </w:r>
      <w:r w:rsidR="00832B77" w:rsidRPr="00E728EF">
        <w:rPr>
          <w:rFonts w:cs="Arial"/>
        </w:rPr>
        <w:t>1</w:t>
      </w:r>
      <w:r w:rsidR="00832B77">
        <w:rPr>
          <w:rFonts w:cs="Arial"/>
        </w:rPr>
        <w:t>9</w:t>
      </w:r>
      <w:r w:rsidRPr="00E728EF">
        <w:rPr>
          <w:rFonts w:cs="Arial"/>
        </w:rPr>
        <w:t>)</w:t>
      </w:r>
      <w:r w:rsidR="000439FE">
        <w:rPr>
          <w:rFonts w:cs="Arial"/>
        </w:rPr>
        <w:t>.</w:t>
      </w:r>
    </w:p>
    <w:p w14:paraId="5E1A8FC8" w14:textId="77777777" w:rsidR="00E53DB1" w:rsidRDefault="00E53DB1" w:rsidP="00CE427B">
      <w:pPr>
        <w:pStyle w:val="Heading2"/>
        <w:spacing w:line="276" w:lineRule="auto"/>
      </w:pPr>
      <w:bookmarkStart w:id="41" w:name="_Toc49417878"/>
      <w:r>
        <w:t>Factors that positively influence the employment of people with intellectual disability</w:t>
      </w:r>
      <w:bookmarkEnd w:id="41"/>
    </w:p>
    <w:p w14:paraId="3C0AE411" w14:textId="77777777" w:rsidR="00E53DB1" w:rsidRDefault="00E53DB1" w:rsidP="00563BA5">
      <w:pPr>
        <w:tabs>
          <w:tab w:val="left" w:pos="0"/>
        </w:tabs>
        <w:spacing w:line="276" w:lineRule="auto"/>
        <w:ind w:right="360"/>
      </w:pPr>
      <w:r>
        <w:t>Across Australian and international research, a range of factors have been identified to support the employment of people with intellectual disability, including those relating to the individual with disability, their supporters (families, friends, service providers), employers, and the broader policy environment. As a US researcher explains:</w:t>
      </w:r>
    </w:p>
    <w:p w14:paraId="08DC360C" w14:textId="010880D0" w:rsidR="00E53DB1" w:rsidRPr="006C6BFA" w:rsidRDefault="00E53DB1" w:rsidP="00563BA5">
      <w:pPr>
        <w:autoSpaceDE w:val="0"/>
        <w:autoSpaceDN w:val="0"/>
        <w:adjustRightInd w:val="0"/>
        <w:spacing w:line="276" w:lineRule="auto"/>
        <w:ind w:left="360" w:right="360"/>
        <w:rPr>
          <w:rFonts w:cs="TimesNewRomanPSMT"/>
        </w:rPr>
      </w:pPr>
      <w:r w:rsidRPr="00B277E8">
        <w:rPr>
          <w:rFonts w:cs="TimesNewRomanPSMT"/>
        </w:rPr>
        <w:t xml:space="preserve">It is also important to note that due to the diversity of the population, the type of job, and available community and state resources, </w:t>
      </w:r>
      <w:r w:rsidRPr="00B277E8">
        <w:rPr>
          <w:rFonts w:cs="TimesNewRomanPSMT"/>
          <w:b/>
          <w:bCs/>
        </w:rPr>
        <w:t>no one model</w:t>
      </w:r>
      <w:r w:rsidRPr="00B277E8">
        <w:rPr>
          <w:rFonts w:cs="TimesNewRomanPSMT"/>
        </w:rPr>
        <w:t xml:space="preserve"> [of pathways to employment] can possibly serve the workplace support needs of all people with disabilities (</w:t>
      </w:r>
      <w:proofErr w:type="spellStart"/>
      <w:r w:rsidRPr="00B277E8">
        <w:rPr>
          <w:rFonts w:cs="TimesNewRomanPSMT"/>
        </w:rPr>
        <w:t>Wehman</w:t>
      </w:r>
      <w:proofErr w:type="spellEnd"/>
      <w:r w:rsidRPr="00B277E8">
        <w:rPr>
          <w:rFonts w:cs="TimesNewRomanPSMT"/>
        </w:rPr>
        <w:t xml:space="preserve"> et al.</w:t>
      </w:r>
      <w:r w:rsidR="002B18B6">
        <w:rPr>
          <w:rFonts w:cs="TimesNewRomanPSMT"/>
        </w:rPr>
        <w:t>,</w:t>
      </w:r>
      <w:r w:rsidRPr="00B277E8">
        <w:rPr>
          <w:rFonts w:cs="TimesNewRomanPSMT"/>
        </w:rPr>
        <w:t xml:space="preserve"> 201</w:t>
      </w:r>
      <w:r>
        <w:rPr>
          <w:rFonts w:cs="TimesNewRomanPSMT"/>
        </w:rPr>
        <w:t>8,</w:t>
      </w:r>
      <w:r w:rsidRPr="00B277E8">
        <w:rPr>
          <w:rFonts w:cs="TimesNewRomanPSMT"/>
        </w:rPr>
        <w:t xml:space="preserve"> p.</w:t>
      </w:r>
      <w:r w:rsidR="009260DA">
        <w:rPr>
          <w:rFonts w:cs="TimesNewRomanPSMT"/>
        </w:rPr>
        <w:t xml:space="preserve"> </w:t>
      </w:r>
      <w:r w:rsidRPr="00B277E8">
        <w:rPr>
          <w:rFonts w:cs="TimesNewRomanPSMT"/>
        </w:rPr>
        <w:t>132)</w:t>
      </w:r>
      <w:r w:rsidR="000439FE">
        <w:rPr>
          <w:rFonts w:cs="TimesNewRomanPSMT"/>
        </w:rPr>
        <w:t>.</w:t>
      </w:r>
    </w:p>
    <w:p w14:paraId="031223FC" w14:textId="77777777" w:rsidR="00E53DB1" w:rsidRDefault="00E53DB1" w:rsidP="00563BA5">
      <w:pPr>
        <w:spacing w:line="276" w:lineRule="auto"/>
      </w:pPr>
      <w:r>
        <w:t>Factors that have been identified as positively influencing employment outcomes for people with intellectual disability include:</w:t>
      </w:r>
    </w:p>
    <w:p w14:paraId="69FB21CF" w14:textId="77777777" w:rsidR="00E53DB1" w:rsidRDefault="00E53DB1" w:rsidP="00563BA5">
      <w:pPr>
        <w:pStyle w:val="ListParagraph"/>
        <w:numPr>
          <w:ilvl w:val="0"/>
          <w:numId w:val="8"/>
        </w:numPr>
        <w:spacing w:line="276" w:lineRule="auto"/>
      </w:pPr>
      <w:r>
        <w:t>having early experiences to develop a view or vision of one’s self as a worker</w:t>
      </w:r>
    </w:p>
    <w:p w14:paraId="624CE2EF" w14:textId="77777777" w:rsidR="00E53DB1" w:rsidRDefault="00E53DB1" w:rsidP="00563BA5">
      <w:pPr>
        <w:pStyle w:val="ListParagraph"/>
        <w:numPr>
          <w:ilvl w:val="0"/>
          <w:numId w:val="8"/>
        </w:numPr>
        <w:spacing w:line="276" w:lineRule="auto"/>
      </w:pPr>
      <w:r>
        <w:t>having work experience, including a ‘typical’ pathway of work experience and paid work as the person grows up through teenage and adult years</w:t>
      </w:r>
    </w:p>
    <w:p w14:paraId="3AAAC869" w14:textId="77777777" w:rsidR="00E53DB1" w:rsidRDefault="00E53DB1" w:rsidP="00563BA5">
      <w:pPr>
        <w:pStyle w:val="ListParagraph"/>
        <w:numPr>
          <w:ilvl w:val="0"/>
          <w:numId w:val="9"/>
        </w:numPr>
        <w:spacing w:line="276" w:lineRule="auto"/>
      </w:pPr>
      <w:r>
        <w:t>parental expectations</w:t>
      </w:r>
    </w:p>
    <w:p w14:paraId="44D738F7" w14:textId="77777777" w:rsidR="00E53DB1" w:rsidRDefault="00E53DB1" w:rsidP="00563BA5">
      <w:pPr>
        <w:pStyle w:val="ListParagraph"/>
        <w:numPr>
          <w:ilvl w:val="0"/>
          <w:numId w:val="9"/>
        </w:numPr>
        <w:spacing w:line="276" w:lineRule="auto"/>
      </w:pPr>
      <w:r>
        <w:t>expectations and support of family and friends (and accessing their social capital)</w:t>
      </w:r>
    </w:p>
    <w:p w14:paraId="0FB126E3" w14:textId="77777777" w:rsidR="00E53DB1" w:rsidRDefault="00E53DB1" w:rsidP="00563BA5">
      <w:pPr>
        <w:pStyle w:val="ListParagraph"/>
        <w:numPr>
          <w:ilvl w:val="0"/>
          <w:numId w:val="9"/>
        </w:numPr>
        <w:spacing w:line="276" w:lineRule="auto"/>
      </w:pPr>
      <w:r>
        <w:t>effective transition support</w:t>
      </w:r>
    </w:p>
    <w:p w14:paraId="1A2D8D10" w14:textId="77777777" w:rsidR="00E53DB1" w:rsidRDefault="00E53DB1" w:rsidP="00563BA5">
      <w:pPr>
        <w:pStyle w:val="ListParagraph"/>
        <w:numPr>
          <w:ilvl w:val="0"/>
          <w:numId w:val="9"/>
        </w:numPr>
        <w:spacing w:line="276" w:lineRule="auto"/>
      </w:pPr>
      <w:r>
        <w:t>completing secondary school</w:t>
      </w:r>
    </w:p>
    <w:p w14:paraId="608953EF" w14:textId="77777777" w:rsidR="00E53DB1" w:rsidRDefault="00E53DB1" w:rsidP="00563BA5">
      <w:pPr>
        <w:pStyle w:val="ListParagraph"/>
        <w:numPr>
          <w:ilvl w:val="0"/>
          <w:numId w:val="9"/>
        </w:numPr>
        <w:spacing w:line="276" w:lineRule="auto"/>
      </w:pPr>
      <w:r w:rsidRPr="00111C0D">
        <w:t>participat</w:t>
      </w:r>
      <w:r>
        <w:t xml:space="preserve">ing in post-secondary education </w:t>
      </w:r>
    </w:p>
    <w:p w14:paraId="0F65EFB6" w14:textId="120A6A42" w:rsidR="00E53DB1" w:rsidRDefault="00E53DB1" w:rsidP="00563BA5">
      <w:pPr>
        <w:pStyle w:val="ListParagraph"/>
        <w:numPr>
          <w:ilvl w:val="0"/>
          <w:numId w:val="9"/>
        </w:numPr>
        <w:spacing w:line="276" w:lineRule="auto"/>
      </w:pPr>
      <w:proofErr w:type="spellStart"/>
      <w:r>
        <w:t>customi</w:t>
      </w:r>
      <w:r w:rsidR="002B6DA9">
        <w:t>s</w:t>
      </w:r>
      <w:r>
        <w:t>ed</w:t>
      </w:r>
      <w:proofErr w:type="spellEnd"/>
      <w:r>
        <w:t xml:space="preserve"> employment</w:t>
      </w:r>
    </w:p>
    <w:p w14:paraId="54A9E492" w14:textId="6862C1C7" w:rsidR="00E53DB1" w:rsidRDefault="00E53DB1" w:rsidP="00563BA5">
      <w:pPr>
        <w:pStyle w:val="ListParagraph"/>
        <w:numPr>
          <w:ilvl w:val="0"/>
          <w:numId w:val="9"/>
        </w:numPr>
        <w:spacing w:line="276" w:lineRule="auto"/>
      </w:pPr>
      <w:proofErr w:type="spellStart"/>
      <w:r>
        <w:lastRenderedPageBreak/>
        <w:t>individuali</w:t>
      </w:r>
      <w:r w:rsidR="002B6DA9">
        <w:t>s</w:t>
      </w:r>
      <w:r>
        <w:t>ed</w:t>
      </w:r>
      <w:proofErr w:type="spellEnd"/>
      <w:r>
        <w:t xml:space="preserve"> placement and support</w:t>
      </w:r>
    </w:p>
    <w:p w14:paraId="14B28B82" w14:textId="77777777" w:rsidR="00E53DB1" w:rsidRDefault="00E53DB1" w:rsidP="00563BA5">
      <w:pPr>
        <w:pStyle w:val="ListParagraph"/>
        <w:numPr>
          <w:ilvl w:val="0"/>
          <w:numId w:val="9"/>
        </w:numPr>
        <w:spacing w:line="276" w:lineRule="auto"/>
      </w:pPr>
      <w:r>
        <w:t>mentoring to support employment</w:t>
      </w:r>
    </w:p>
    <w:p w14:paraId="209EC53B" w14:textId="363C1616" w:rsidR="00E53DB1" w:rsidRDefault="00C13335" w:rsidP="00563BA5">
      <w:pPr>
        <w:pStyle w:val="ListParagraph"/>
        <w:numPr>
          <w:ilvl w:val="0"/>
          <w:numId w:val="9"/>
        </w:numPr>
        <w:spacing w:line="276" w:lineRule="auto"/>
      </w:pPr>
      <w:r>
        <w:t>self-employment</w:t>
      </w:r>
      <w:r w:rsidR="00E53DB1">
        <w:t xml:space="preserve"> through microenterprise</w:t>
      </w:r>
    </w:p>
    <w:p w14:paraId="06013B75" w14:textId="77777777" w:rsidR="00E53DB1" w:rsidRDefault="00E53DB1" w:rsidP="00563BA5">
      <w:pPr>
        <w:pStyle w:val="ListParagraph"/>
        <w:numPr>
          <w:ilvl w:val="0"/>
          <w:numId w:val="9"/>
        </w:numPr>
        <w:spacing w:line="276" w:lineRule="auto"/>
      </w:pPr>
      <w:r>
        <w:t>interagency collaboration.</w:t>
      </w:r>
    </w:p>
    <w:p w14:paraId="55B8C608" w14:textId="77777777" w:rsidR="00E53DB1" w:rsidRDefault="00E53DB1" w:rsidP="00CE427B">
      <w:pPr>
        <w:autoSpaceDE w:val="0"/>
        <w:autoSpaceDN w:val="0"/>
        <w:adjustRightInd w:val="0"/>
        <w:spacing w:line="276" w:lineRule="auto"/>
        <w:rPr>
          <w:rFonts w:cs="Times-Roman"/>
        </w:rPr>
        <w:sectPr w:rsidR="00E53DB1" w:rsidSect="008926C2">
          <w:pgSz w:w="11909" w:h="16834" w:code="9"/>
          <w:pgMar w:top="964" w:right="964" w:bottom="964" w:left="964" w:header="431" w:footer="720" w:gutter="0"/>
          <w:cols w:space="720"/>
          <w:docGrid w:linePitch="360"/>
        </w:sectPr>
      </w:pPr>
    </w:p>
    <w:p w14:paraId="1E34F653" w14:textId="76C9ADE6" w:rsidR="00E53DB1" w:rsidRDefault="00E53DB1" w:rsidP="00CE427B">
      <w:pPr>
        <w:pStyle w:val="Heading1"/>
        <w:pBdr>
          <w:bottom w:val="single" w:sz="4" w:space="1" w:color="auto"/>
        </w:pBdr>
        <w:spacing w:after="120" w:line="276" w:lineRule="auto"/>
      </w:pPr>
      <w:bookmarkStart w:id="42" w:name="_Toc49462457"/>
      <w:r>
        <w:lastRenderedPageBreak/>
        <w:t>Evidence piece 2:</w:t>
      </w:r>
      <w:bookmarkEnd w:id="42"/>
    </w:p>
    <w:p w14:paraId="78499376" w14:textId="7ECBF7C8" w:rsidR="00E53DB1" w:rsidRDefault="00E53DB1" w:rsidP="00CE427B">
      <w:pPr>
        <w:pStyle w:val="Heading1"/>
        <w:pBdr>
          <w:bottom w:val="single" w:sz="4" w:space="1" w:color="auto"/>
        </w:pBdr>
        <w:spacing w:after="120" w:line="276" w:lineRule="auto"/>
      </w:pPr>
      <w:bookmarkStart w:id="43" w:name="_Toc49462458"/>
      <w:r>
        <w:t>The effect of parental expectations on employment of people with intellectual disability</w:t>
      </w:r>
      <w:bookmarkEnd w:id="43"/>
    </w:p>
    <w:p w14:paraId="6A5A300F" w14:textId="77777777" w:rsidR="000959F8" w:rsidRPr="00EA7A43" w:rsidRDefault="000959F8" w:rsidP="000959F8">
      <w:bookmarkStart w:id="44" w:name="_Toc49417881"/>
    </w:p>
    <w:p w14:paraId="74189B3F" w14:textId="77777777" w:rsidR="00E53DB1" w:rsidRDefault="00E53DB1" w:rsidP="00CE427B">
      <w:pPr>
        <w:pStyle w:val="Heading2"/>
        <w:spacing w:after="120" w:line="276" w:lineRule="auto"/>
      </w:pPr>
      <w:r>
        <w:t>What do we mean by parent expectations?</w:t>
      </w:r>
      <w:bookmarkEnd w:id="44"/>
    </w:p>
    <w:p w14:paraId="6F08AABB" w14:textId="07414E9F" w:rsidR="00E53DB1" w:rsidRDefault="00E53DB1" w:rsidP="000C67EF">
      <w:pPr>
        <w:autoSpaceDE w:val="0"/>
        <w:autoSpaceDN w:val="0"/>
        <w:adjustRightInd w:val="0"/>
        <w:spacing w:line="276" w:lineRule="auto"/>
        <w:rPr>
          <w:rFonts w:cs="Calibri"/>
          <w:color w:val="000000"/>
        </w:rPr>
      </w:pPr>
      <w:r w:rsidRPr="003924B3">
        <w:rPr>
          <w:rFonts w:cs="Calibri"/>
          <w:color w:val="000000"/>
        </w:rPr>
        <w:t>Parent expectations</w:t>
      </w:r>
      <w:r>
        <w:rPr>
          <w:rFonts w:cs="Calibri"/>
          <w:color w:val="000000"/>
        </w:rPr>
        <w:t xml:space="preserve"> of, or aspirations for, their children</w:t>
      </w:r>
      <w:r w:rsidRPr="003924B3">
        <w:rPr>
          <w:rFonts w:cs="Calibri"/>
          <w:color w:val="000000"/>
        </w:rPr>
        <w:t xml:space="preserve"> are </w:t>
      </w:r>
      <w:r>
        <w:rPr>
          <w:rFonts w:cs="Calibri"/>
          <w:color w:val="000000"/>
        </w:rPr>
        <w:t>the</w:t>
      </w:r>
      <w:r w:rsidRPr="003924B3">
        <w:rPr>
          <w:rFonts w:cs="Calibri"/>
          <w:color w:val="000000"/>
        </w:rPr>
        <w:t xml:space="preserve"> broad ideas about what parents believe is realistic for their child’s future (Martinez</w:t>
      </w:r>
      <w:r w:rsidR="00746DA5">
        <w:rPr>
          <w:rFonts w:cs="Calibri"/>
          <w:color w:val="000000"/>
        </w:rPr>
        <w:t xml:space="preserve"> et al.</w:t>
      </w:r>
      <w:r w:rsidRPr="003924B3">
        <w:rPr>
          <w:rFonts w:cs="Calibri"/>
          <w:color w:val="000000"/>
        </w:rPr>
        <w:t xml:space="preserve">, 2012). </w:t>
      </w:r>
      <w:r w:rsidRPr="00552898">
        <w:rPr>
          <w:rFonts w:cs="Calibri"/>
          <w:color w:val="000000"/>
        </w:rPr>
        <w:t xml:space="preserve">The expectations parents – and others </w:t>
      </w:r>
      <w:r w:rsidR="00493900">
        <w:rPr>
          <w:rFonts w:cs="Calibri"/>
          <w:color w:val="000000"/>
        </w:rPr>
        <w:t xml:space="preserve">– </w:t>
      </w:r>
      <w:r w:rsidRPr="00552898">
        <w:rPr>
          <w:rFonts w:cs="Calibri"/>
          <w:color w:val="000000"/>
        </w:rPr>
        <w:t xml:space="preserve">hold can have a direct impact on the employment outcomes of youth with </w:t>
      </w:r>
      <w:r>
        <w:rPr>
          <w:rFonts w:cs="Calibri"/>
          <w:color w:val="000000"/>
        </w:rPr>
        <w:t>intellectual disability</w:t>
      </w:r>
      <w:r w:rsidRPr="00552898">
        <w:rPr>
          <w:rFonts w:cs="Calibri"/>
          <w:color w:val="000000"/>
        </w:rPr>
        <w:t xml:space="preserve"> (Carter et al</w:t>
      </w:r>
      <w:r>
        <w:rPr>
          <w:rFonts w:cs="Calibri"/>
          <w:color w:val="000000"/>
        </w:rPr>
        <w:t>.</w:t>
      </w:r>
      <w:r w:rsidRPr="00552898">
        <w:rPr>
          <w:rFonts w:cs="Calibri"/>
          <w:color w:val="000000"/>
        </w:rPr>
        <w:t>, 2017)</w:t>
      </w:r>
      <w:r>
        <w:rPr>
          <w:rFonts w:cs="Calibri"/>
          <w:color w:val="000000"/>
        </w:rPr>
        <w:t>.</w:t>
      </w:r>
    </w:p>
    <w:p w14:paraId="3A8AC909" w14:textId="77777777" w:rsidR="00E53DB1" w:rsidRDefault="00E53DB1" w:rsidP="00CE427B">
      <w:pPr>
        <w:pStyle w:val="Heading2"/>
        <w:spacing w:after="120" w:line="276" w:lineRule="auto"/>
      </w:pPr>
      <w:bookmarkStart w:id="45" w:name="_Toc49417882"/>
      <w:r>
        <w:t>The problem</w:t>
      </w:r>
      <w:bookmarkEnd w:id="45"/>
    </w:p>
    <w:p w14:paraId="794F36E8" w14:textId="28EBD520" w:rsidR="00E53DB1" w:rsidRDefault="00E53DB1" w:rsidP="000C67EF">
      <w:pPr>
        <w:snapToGrid w:val="0"/>
        <w:spacing w:line="276" w:lineRule="auto"/>
        <w:rPr>
          <w:iCs/>
        </w:rPr>
      </w:pPr>
      <w:r>
        <w:rPr>
          <w:iCs/>
        </w:rPr>
        <w:t xml:space="preserve">Research and public consultation have found that the aspirations of people with disability, and those of their family and </w:t>
      </w:r>
      <w:proofErr w:type="spellStart"/>
      <w:r>
        <w:rPr>
          <w:iCs/>
        </w:rPr>
        <w:t>carers</w:t>
      </w:r>
      <w:proofErr w:type="spellEnd"/>
      <w:r>
        <w:rPr>
          <w:iCs/>
        </w:rPr>
        <w:t xml:space="preserve">, about participation in </w:t>
      </w:r>
      <w:r w:rsidR="007D3346">
        <w:rPr>
          <w:iCs/>
        </w:rPr>
        <w:t>post-secondary</w:t>
      </w:r>
      <w:r>
        <w:rPr>
          <w:iCs/>
        </w:rPr>
        <w:t xml:space="preserve"> education and employment are often limited (ACIL Allen Consulting, 2017; Chambers et al., 2004). Indeed, low expectations of parents is a commonly cited major barrier to employment for people with intellectual disability.</w:t>
      </w:r>
    </w:p>
    <w:p w14:paraId="6EFA5DE9" w14:textId="25C01975" w:rsidR="00E53DB1" w:rsidRPr="00FB55D4" w:rsidRDefault="00E53DB1" w:rsidP="000C67EF">
      <w:pPr>
        <w:snapToGrid w:val="0"/>
        <w:spacing w:line="276" w:lineRule="auto"/>
      </w:pPr>
      <w:r>
        <w:rPr>
          <w:iCs/>
        </w:rPr>
        <w:t xml:space="preserve">These low </w:t>
      </w:r>
      <w:r>
        <w:t xml:space="preserve">expectations, coupled with poor transition planning, lead to decision making that is focused on reducing risk, often resulting in choices that have a non-vocational focus (Hetherington et al., 2010; </w:t>
      </w:r>
      <w:proofErr w:type="spellStart"/>
      <w:r>
        <w:t>Redgrove</w:t>
      </w:r>
      <w:proofErr w:type="spellEnd"/>
      <w:r>
        <w:t xml:space="preserve"> et al., 2016; Gilson et al., </w:t>
      </w:r>
      <w:r w:rsidRPr="00035ECB">
        <w:t>2018; Noel et al., 2017).</w:t>
      </w:r>
      <w:r>
        <w:t xml:space="preserve"> Failure to explore the world of work also reinforces low expectations (Bellman et al., 2014; </w:t>
      </w:r>
      <w:proofErr w:type="spellStart"/>
      <w:r>
        <w:t>Blustein</w:t>
      </w:r>
      <w:proofErr w:type="spellEnd"/>
      <w:r>
        <w:t xml:space="preserve"> et al., 2016; Carter et al., 2017; </w:t>
      </w:r>
      <w:r w:rsidRPr="00E61157">
        <w:t>Chambers et al., 2004</w:t>
      </w:r>
      <w:r>
        <w:t xml:space="preserve">; </w:t>
      </w:r>
      <w:proofErr w:type="spellStart"/>
      <w:r>
        <w:t>Luecking</w:t>
      </w:r>
      <w:proofErr w:type="spellEnd"/>
      <w:r>
        <w:t xml:space="preserve"> &amp; </w:t>
      </w:r>
      <w:proofErr w:type="spellStart"/>
      <w:r>
        <w:t>Luecking</w:t>
      </w:r>
      <w:proofErr w:type="spellEnd"/>
      <w:r>
        <w:t>, 201</w:t>
      </w:r>
      <w:r w:rsidR="00ED75E5">
        <w:t>5</w:t>
      </w:r>
      <w:r>
        <w:t>; Lysaght et al., 2017).</w:t>
      </w:r>
    </w:p>
    <w:p w14:paraId="15F1A8C3" w14:textId="4F15B841" w:rsidR="00E53DB1" w:rsidRPr="000D7BAB" w:rsidRDefault="00E53DB1" w:rsidP="00CE427B">
      <w:pPr>
        <w:pStyle w:val="Heading2"/>
        <w:spacing w:after="120" w:line="276" w:lineRule="auto"/>
      </w:pPr>
      <w:bookmarkStart w:id="46" w:name="_Toc49417883"/>
      <w:r>
        <w:t>What works as a solution</w:t>
      </w:r>
      <w:bookmarkEnd w:id="46"/>
      <w:r w:rsidR="007643FD">
        <w:t>?</w:t>
      </w:r>
    </w:p>
    <w:p w14:paraId="72E3F0B7" w14:textId="6B5ED428" w:rsidR="00E53DB1" w:rsidRDefault="00E53DB1" w:rsidP="00C13B01">
      <w:pPr>
        <w:autoSpaceDE w:val="0"/>
        <w:autoSpaceDN w:val="0"/>
        <w:adjustRightInd w:val="0"/>
        <w:spacing w:line="276" w:lineRule="auto"/>
        <w:rPr>
          <w:rFonts w:cs="Calibri"/>
          <w:color w:val="000000"/>
        </w:rPr>
      </w:pPr>
      <w:r>
        <w:t xml:space="preserve">There is a strong </w:t>
      </w:r>
      <w:r w:rsidRPr="003924B3">
        <w:rPr>
          <w:rFonts w:cs="Calibri"/>
          <w:color w:val="000000"/>
        </w:rPr>
        <w:t>relationship between parent expectations and student outcomes for</w:t>
      </w:r>
      <w:r>
        <w:rPr>
          <w:rFonts w:cs="Calibri"/>
          <w:color w:val="000000"/>
        </w:rPr>
        <w:t xml:space="preserve"> all students (both </w:t>
      </w:r>
      <w:r w:rsidRPr="003924B3">
        <w:rPr>
          <w:rFonts w:cs="Calibri"/>
          <w:color w:val="000000"/>
        </w:rPr>
        <w:t>with and without disability</w:t>
      </w:r>
      <w:r>
        <w:rPr>
          <w:rFonts w:cs="Calibri"/>
          <w:color w:val="000000"/>
        </w:rPr>
        <w:t>)</w:t>
      </w:r>
      <w:r w:rsidRPr="003924B3">
        <w:rPr>
          <w:rFonts w:cs="Calibri"/>
          <w:color w:val="000000"/>
        </w:rPr>
        <w:t xml:space="preserve"> (Zhang</w:t>
      </w:r>
      <w:r>
        <w:rPr>
          <w:rFonts w:cs="Calibri"/>
          <w:color w:val="000000"/>
        </w:rPr>
        <w:t xml:space="preserve"> et al.,</w:t>
      </w:r>
      <w:r w:rsidRPr="003924B3">
        <w:rPr>
          <w:rFonts w:cs="Calibri"/>
          <w:color w:val="000000"/>
        </w:rPr>
        <w:t xml:space="preserve"> 201</w:t>
      </w:r>
      <w:r w:rsidR="00AF73EC">
        <w:rPr>
          <w:rFonts w:cs="Calibri"/>
          <w:color w:val="000000"/>
        </w:rPr>
        <w:t>1</w:t>
      </w:r>
      <w:r w:rsidRPr="003924B3">
        <w:rPr>
          <w:rFonts w:cs="Calibri"/>
          <w:color w:val="000000"/>
        </w:rPr>
        <w:t xml:space="preserve">). </w:t>
      </w:r>
    </w:p>
    <w:p w14:paraId="2D969F4F" w14:textId="77777777" w:rsidR="00E53DB1" w:rsidRDefault="00E53DB1" w:rsidP="00C13B01">
      <w:pPr>
        <w:autoSpaceDE w:val="0"/>
        <w:autoSpaceDN w:val="0"/>
        <w:adjustRightInd w:val="0"/>
        <w:spacing w:line="276" w:lineRule="auto"/>
        <w:rPr>
          <w:rFonts w:cs="Calibri"/>
          <w:color w:val="000000"/>
        </w:rPr>
      </w:pPr>
      <w:r>
        <w:rPr>
          <w:rFonts w:cs="Calibri"/>
          <w:color w:val="000000"/>
        </w:rPr>
        <w:t>Parent expectations have been found to influence:</w:t>
      </w:r>
    </w:p>
    <w:p w14:paraId="066A52E0" w14:textId="77777777" w:rsidR="00E53DB1" w:rsidRDefault="00E53DB1" w:rsidP="00C13B01">
      <w:pPr>
        <w:pStyle w:val="ListParagraph"/>
        <w:numPr>
          <w:ilvl w:val="0"/>
          <w:numId w:val="10"/>
        </w:numPr>
        <w:autoSpaceDE w:val="0"/>
        <w:autoSpaceDN w:val="0"/>
        <w:adjustRightInd w:val="0"/>
        <w:spacing w:line="276" w:lineRule="auto"/>
        <w:contextualSpacing w:val="0"/>
        <w:rPr>
          <w:rFonts w:cs="Calibri"/>
          <w:color w:val="000000"/>
        </w:rPr>
      </w:pPr>
      <w:r>
        <w:rPr>
          <w:rFonts w:cs="Calibri"/>
          <w:color w:val="000000"/>
        </w:rPr>
        <w:t>Student outcomes</w:t>
      </w:r>
    </w:p>
    <w:p w14:paraId="37F9FF31" w14:textId="77777777" w:rsidR="00E53DB1" w:rsidRDefault="00E53DB1" w:rsidP="00C13B01">
      <w:pPr>
        <w:pStyle w:val="ListParagraph"/>
        <w:numPr>
          <w:ilvl w:val="0"/>
          <w:numId w:val="10"/>
        </w:numPr>
        <w:autoSpaceDE w:val="0"/>
        <w:autoSpaceDN w:val="0"/>
        <w:adjustRightInd w:val="0"/>
        <w:spacing w:line="276" w:lineRule="auto"/>
        <w:contextualSpacing w:val="0"/>
        <w:rPr>
          <w:rFonts w:cs="Calibri"/>
          <w:color w:val="000000"/>
        </w:rPr>
      </w:pPr>
      <w:r>
        <w:rPr>
          <w:rFonts w:cs="Calibri"/>
          <w:color w:val="000000"/>
        </w:rPr>
        <w:t>School graduation rates</w:t>
      </w:r>
    </w:p>
    <w:p w14:paraId="0CBFCDE6" w14:textId="77777777" w:rsidR="00E53DB1" w:rsidRDefault="00E53DB1" w:rsidP="00C13B01">
      <w:pPr>
        <w:pStyle w:val="ListParagraph"/>
        <w:numPr>
          <w:ilvl w:val="0"/>
          <w:numId w:val="10"/>
        </w:numPr>
        <w:autoSpaceDE w:val="0"/>
        <w:autoSpaceDN w:val="0"/>
        <w:adjustRightInd w:val="0"/>
        <w:spacing w:line="276" w:lineRule="auto"/>
        <w:contextualSpacing w:val="0"/>
        <w:rPr>
          <w:rFonts w:cs="Calibri"/>
          <w:color w:val="000000"/>
        </w:rPr>
      </w:pPr>
      <w:r>
        <w:rPr>
          <w:rFonts w:cs="Calibri"/>
          <w:color w:val="000000"/>
        </w:rPr>
        <w:t>Employment after secondary school</w:t>
      </w:r>
    </w:p>
    <w:p w14:paraId="354AB4E4" w14:textId="77777777" w:rsidR="00E53DB1" w:rsidRPr="001F4AAB" w:rsidRDefault="00E53DB1" w:rsidP="00C13B01">
      <w:pPr>
        <w:pStyle w:val="ListParagraph"/>
        <w:numPr>
          <w:ilvl w:val="0"/>
          <w:numId w:val="10"/>
        </w:numPr>
        <w:autoSpaceDE w:val="0"/>
        <w:autoSpaceDN w:val="0"/>
        <w:adjustRightInd w:val="0"/>
        <w:spacing w:line="276" w:lineRule="auto"/>
        <w:contextualSpacing w:val="0"/>
        <w:rPr>
          <w:rFonts w:cs="Calibri"/>
          <w:color w:val="000000"/>
        </w:rPr>
      </w:pPr>
      <w:r>
        <w:rPr>
          <w:rFonts w:cs="Calibri"/>
          <w:color w:val="000000"/>
        </w:rPr>
        <w:t>Participation in post-secondary education and training.</w:t>
      </w:r>
    </w:p>
    <w:p w14:paraId="0E0A5B7C" w14:textId="7A7ECDB3" w:rsidR="00E53DB1" w:rsidRPr="00AB289A" w:rsidRDefault="00E53DB1" w:rsidP="00C13B01">
      <w:pPr>
        <w:tabs>
          <w:tab w:val="left" w:pos="0"/>
        </w:tabs>
        <w:autoSpaceDE w:val="0"/>
        <w:autoSpaceDN w:val="0"/>
        <w:adjustRightInd w:val="0"/>
        <w:spacing w:line="276" w:lineRule="auto"/>
      </w:pPr>
      <w:r>
        <w:t>High expectations of what people with disability can achieve are an important indicator of their later employment (ARTD Consultants, 2019; Carter et al., 2017; Kirby</w:t>
      </w:r>
      <w:r w:rsidR="0023444C">
        <w:t xml:space="preserve"> et al.</w:t>
      </w:r>
      <w:r>
        <w:t xml:space="preserve">, 2019). </w:t>
      </w:r>
      <w:r>
        <w:rPr>
          <w:rFonts w:cs="Calibri"/>
          <w:color w:val="000000"/>
        </w:rPr>
        <w:t>Hall et al. (2018, p.</w:t>
      </w:r>
      <w:r w:rsidR="0023444C">
        <w:rPr>
          <w:rFonts w:cs="Calibri"/>
          <w:color w:val="000000"/>
        </w:rPr>
        <w:t xml:space="preserve"> </w:t>
      </w:r>
      <w:r>
        <w:rPr>
          <w:rFonts w:cs="Calibri"/>
          <w:color w:val="000000"/>
        </w:rPr>
        <w:t xml:space="preserve">208) argue that </w:t>
      </w:r>
      <w:r w:rsidR="00645BE9">
        <w:rPr>
          <w:rFonts w:cs="Calibri"/>
          <w:color w:val="000000"/>
        </w:rPr>
        <w:t>“</w:t>
      </w:r>
      <w:r w:rsidRPr="00585FC8">
        <w:t>parental expectation is the greatest predictor of paid work experiences</w:t>
      </w:r>
      <w:r w:rsidR="00645BE9">
        <w:t>”</w:t>
      </w:r>
      <w:r>
        <w:t xml:space="preserve"> for people with intellectual and developmental disability, and this is reinforced in a range of research which finds that</w:t>
      </w:r>
      <w:r>
        <w:rPr>
          <w:rFonts w:cs="Calibri"/>
          <w:color w:val="000000"/>
        </w:rPr>
        <w:t xml:space="preserve"> parental expectations are the strongest predictors of employment and post-secondary education for students with intellectual disability (</w:t>
      </w:r>
      <w:proofErr w:type="spellStart"/>
      <w:r w:rsidRPr="003924B3">
        <w:rPr>
          <w:rFonts w:cs="Calibri"/>
          <w:color w:val="000000"/>
        </w:rPr>
        <w:t>Papay</w:t>
      </w:r>
      <w:proofErr w:type="spellEnd"/>
      <w:r w:rsidRPr="003924B3">
        <w:rPr>
          <w:rFonts w:cs="Calibri"/>
          <w:color w:val="000000"/>
        </w:rPr>
        <w:t xml:space="preserve"> </w:t>
      </w:r>
      <w:r w:rsidR="00F938CB">
        <w:rPr>
          <w:rFonts w:cs="Calibri"/>
          <w:color w:val="000000"/>
        </w:rPr>
        <w:t>&amp;</w:t>
      </w:r>
      <w:r w:rsidRPr="003924B3">
        <w:rPr>
          <w:rFonts w:cs="Calibri"/>
          <w:color w:val="000000"/>
        </w:rPr>
        <w:t xml:space="preserve"> Bambara</w:t>
      </w:r>
      <w:r>
        <w:rPr>
          <w:rFonts w:cs="Calibri"/>
          <w:color w:val="000000"/>
        </w:rPr>
        <w:t xml:space="preserve">, </w:t>
      </w:r>
      <w:r w:rsidRPr="003924B3">
        <w:rPr>
          <w:rFonts w:cs="Calibri"/>
          <w:color w:val="000000"/>
        </w:rPr>
        <w:t>2014</w:t>
      </w:r>
      <w:r w:rsidR="00F938CB">
        <w:rPr>
          <w:rFonts w:cs="Calibri"/>
          <w:color w:val="000000"/>
        </w:rPr>
        <w:t>,</w:t>
      </w:r>
      <w:r>
        <w:rPr>
          <w:rFonts w:cs="Calibri"/>
          <w:color w:val="000000"/>
        </w:rPr>
        <w:t xml:space="preserve"> in Southward &amp; </w:t>
      </w:r>
      <w:proofErr w:type="spellStart"/>
      <w:r>
        <w:rPr>
          <w:rFonts w:cs="Calibri"/>
          <w:color w:val="000000"/>
        </w:rPr>
        <w:t>Kyzar</w:t>
      </w:r>
      <w:proofErr w:type="spellEnd"/>
      <w:r>
        <w:rPr>
          <w:rFonts w:cs="Calibri"/>
          <w:color w:val="000000"/>
        </w:rPr>
        <w:t xml:space="preserve">, 2017; </w:t>
      </w:r>
      <w:r w:rsidRPr="003924B3">
        <w:rPr>
          <w:rFonts w:cs="Calibri"/>
          <w:color w:val="000000"/>
        </w:rPr>
        <w:t xml:space="preserve">Carter et al., </w:t>
      </w:r>
      <w:r>
        <w:rPr>
          <w:rFonts w:cs="Calibri"/>
          <w:color w:val="000000"/>
        </w:rPr>
        <w:t>2012</w:t>
      </w:r>
      <w:r w:rsidR="005B6238">
        <w:rPr>
          <w:rFonts w:cs="Calibri"/>
          <w:color w:val="000000"/>
        </w:rPr>
        <w:t xml:space="preserve">; Carter et al., </w:t>
      </w:r>
      <w:r w:rsidRPr="003924B3">
        <w:rPr>
          <w:rFonts w:cs="Calibri"/>
          <w:color w:val="000000"/>
        </w:rPr>
        <w:t>2017)</w:t>
      </w:r>
      <w:r>
        <w:rPr>
          <w:rFonts w:cs="Calibri"/>
          <w:color w:val="000000"/>
        </w:rPr>
        <w:t xml:space="preserve">. </w:t>
      </w:r>
    </w:p>
    <w:p w14:paraId="3E64508E" w14:textId="1B8EC397" w:rsidR="00E53DB1" w:rsidRPr="000D7BAB" w:rsidRDefault="00E53DB1" w:rsidP="00C13B01">
      <w:pPr>
        <w:autoSpaceDE w:val="0"/>
        <w:autoSpaceDN w:val="0"/>
        <w:adjustRightInd w:val="0"/>
        <w:spacing w:line="276" w:lineRule="auto"/>
        <w:rPr>
          <w:rFonts w:cs="TimesNewRomanPSMT"/>
        </w:rPr>
      </w:pPr>
      <w:r>
        <w:t>Longitudinal studies have found that high parent expectations (along with hands-on, authentic work experiences) are the key factors associated with employment two years post high school for students with intellectual and severe disability (Carter</w:t>
      </w:r>
      <w:r w:rsidR="00CC640A">
        <w:t xml:space="preserve"> et al.</w:t>
      </w:r>
      <w:r>
        <w:t xml:space="preserve">, 2012). </w:t>
      </w:r>
      <w:r w:rsidRPr="000D7BAB">
        <w:rPr>
          <w:rFonts w:cs="TimesNewRomanPSMT"/>
        </w:rPr>
        <w:t xml:space="preserve">Early modelling of work roles by parents and family members </w:t>
      </w:r>
      <w:r>
        <w:rPr>
          <w:rFonts w:cs="TimesNewRomanPSMT"/>
        </w:rPr>
        <w:t>are</w:t>
      </w:r>
      <w:r w:rsidRPr="000D7BAB">
        <w:rPr>
          <w:rFonts w:cs="TimesNewRomanPSMT"/>
        </w:rPr>
        <w:t xml:space="preserve"> powerful </w:t>
      </w:r>
      <w:r>
        <w:rPr>
          <w:rFonts w:cs="TimesNewRomanPSMT"/>
        </w:rPr>
        <w:t xml:space="preserve">ingredients for the child in </w:t>
      </w:r>
      <w:r w:rsidRPr="000D7BAB">
        <w:rPr>
          <w:rFonts w:cs="TimesNewRomanPSMT"/>
        </w:rPr>
        <w:t>shaping th</w:t>
      </w:r>
      <w:r>
        <w:rPr>
          <w:rFonts w:cs="TimesNewRomanPSMT"/>
        </w:rPr>
        <w:t>e</w:t>
      </w:r>
      <w:r w:rsidRPr="000D7BAB">
        <w:rPr>
          <w:rFonts w:cs="TimesNewRomanPSMT"/>
        </w:rPr>
        <w:t xml:space="preserve"> vision</w:t>
      </w:r>
      <w:r>
        <w:rPr>
          <w:rFonts w:cs="TimesNewRomanPSMT"/>
        </w:rPr>
        <w:t xml:space="preserve"> of their future life</w:t>
      </w:r>
      <w:r w:rsidRPr="000D7BAB">
        <w:rPr>
          <w:rFonts w:cs="TimesNewRomanPSMT"/>
        </w:rPr>
        <w:t xml:space="preserve"> (Hall et al</w:t>
      </w:r>
      <w:r>
        <w:rPr>
          <w:rFonts w:cs="TimesNewRomanPSMT"/>
        </w:rPr>
        <w:t>.</w:t>
      </w:r>
      <w:r w:rsidR="00727E66">
        <w:rPr>
          <w:rFonts w:cs="TimesNewRomanPSMT"/>
        </w:rPr>
        <w:t>,</w:t>
      </w:r>
      <w:r w:rsidRPr="000D7BAB">
        <w:rPr>
          <w:rFonts w:cs="TimesNewRomanPSMT"/>
        </w:rPr>
        <w:t xml:space="preserve"> 2018).</w:t>
      </w:r>
    </w:p>
    <w:p w14:paraId="29732D61" w14:textId="4AB7CEB8" w:rsidR="00E53DB1" w:rsidRPr="00E53DB1" w:rsidRDefault="00E53DB1" w:rsidP="00C13B01">
      <w:pPr>
        <w:pStyle w:val="Default"/>
        <w:spacing w:before="120" w:line="276" w:lineRule="auto"/>
        <w:rPr>
          <w:rFonts w:asciiTheme="minorHAnsi" w:hAnsiTheme="minorHAnsi" w:cstheme="minorHAnsi"/>
          <w:sz w:val="21"/>
          <w:szCs w:val="21"/>
        </w:rPr>
      </w:pPr>
      <w:r w:rsidRPr="00E53DB1">
        <w:rPr>
          <w:rFonts w:asciiTheme="minorHAnsi" w:hAnsiTheme="minorHAnsi" w:cstheme="minorHAnsi"/>
          <w:sz w:val="21"/>
          <w:szCs w:val="21"/>
        </w:rPr>
        <w:lastRenderedPageBreak/>
        <w:t xml:space="preserve">One US study reported that students with intellectual disability </w:t>
      </w:r>
      <w:r w:rsidR="00BC36EF">
        <w:rPr>
          <w:rFonts w:asciiTheme="minorHAnsi" w:hAnsiTheme="minorHAnsi" w:cstheme="minorHAnsi"/>
          <w:sz w:val="21"/>
          <w:szCs w:val="21"/>
        </w:rPr>
        <w:t>“</w:t>
      </w:r>
      <w:r w:rsidRPr="00E53DB1">
        <w:rPr>
          <w:rFonts w:asciiTheme="minorHAnsi" w:hAnsiTheme="minorHAnsi" w:cstheme="minorHAnsi"/>
          <w:sz w:val="21"/>
          <w:szCs w:val="21"/>
        </w:rPr>
        <w:t>whose parents expected they would be employed upon graduation of high school are ‘58 times more likely to be employed up to 2 years out of high school and 50 times more likely to be employed between 2and 4 years out of high school than youth whose parents did not expect they would be employed’</w:t>
      </w:r>
      <w:r w:rsidR="00CD02CF">
        <w:rPr>
          <w:rFonts w:asciiTheme="minorHAnsi" w:hAnsiTheme="minorHAnsi" w:cstheme="minorHAnsi"/>
          <w:sz w:val="21"/>
          <w:szCs w:val="21"/>
        </w:rPr>
        <w:t>”</w:t>
      </w:r>
      <w:r w:rsidRPr="00E53DB1">
        <w:rPr>
          <w:rFonts w:asciiTheme="minorHAnsi" w:hAnsiTheme="minorHAnsi" w:cstheme="minorHAnsi"/>
          <w:sz w:val="21"/>
          <w:szCs w:val="21"/>
        </w:rPr>
        <w:t xml:space="preserve"> (</w:t>
      </w:r>
      <w:proofErr w:type="spellStart"/>
      <w:r w:rsidRPr="00E53DB1">
        <w:rPr>
          <w:rFonts w:asciiTheme="minorHAnsi" w:hAnsiTheme="minorHAnsi" w:cstheme="minorHAnsi"/>
          <w:sz w:val="21"/>
          <w:szCs w:val="21"/>
        </w:rPr>
        <w:t>Papay</w:t>
      </w:r>
      <w:proofErr w:type="spellEnd"/>
      <w:r w:rsidRPr="00E53DB1">
        <w:rPr>
          <w:rFonts w:asciiTheme="minorHAnsi" w:hAnsiTheme="minorHAnsi" w:cstheme="minorHAnsi"/>
          <w:sz w:val="21"/>
          <w:szCs w:val="21"/>
        </w:rPr>
        <w:t xml:space="preserve"> &amp; Bambara, 2011, </w:t>
      </w:r>
      <w:r w:rsidR="00797E26">
        <w:rPr>
          <w:rFonts w:asciiTheme="minorHAnsi" w:hAnsiTheme="minorHAnsi" w:cstheme="minorHAnsi"/>
          <w:sz w:val="21"/>
          <w:szCs w:val="21"/>
        </w:rPr>
        <w:t>as cited</w:t>
      </w:r>
      <w:r w:rsidRPr="00E53DB1">
        <w:rPr>
          <w:rFonts w:asciiTheme="minorHAnsi" w:hAnsiTheme="minorHAnsi" w:cstheme="minorHAnsi"/>
          <w:sz w:val="21"/>
          <w:szCs w:val="21"/>
        </w:rPr>
        <w:t xml:space="preserve"> in Southward &amp; </w:t>
      </w:r>
      <w:proofErr w:type="spellStart"/>
      <w:r w:rsidRPr="00E53DB1">
        <w:rPr>
          <w:rFonts w:asciiTheme="minorHAnsi" w:hAnsiTheme="minorHAnsi" w:cstheme="minorHAnsi"/>
          <w:sz w:val="21"/>
          <w:szCs w:val="21"/>
        </w:rPr>
        <w:t>Kyzar</w:t>
      </w:r>
      <w:proofErr w:type="spellEnd"/>
      <w:r w:rsidRPr="00E53DB1">
        <w:rPr>
          <w:rFonts w:asciiTheme="minorHAnsi" w:hAnsiTheme="minorHAnsi" w:cstheme="minorHAnsi"/>
          <w:sz w:val="21"/>
          <w:szCs w:val="21"/>
        </w:rPr>
        <w:t>, 2017, p.</w:t>
      </w:r>
      <w:r w:rsidR="00EC1117">
        <w:rPr>
          <w:rFonts w:asciiTheme="minorHAnsi" w:hAnsiTheme="minorHAnsi" w:cstheme="minorHAnsi"/>
          <w:sz w:val="21"/>
          <w:szCs w:val="21"/>
        </w:rPr>
        <w:t xml:space="preserve"> </w:t>
      </w:r>
      <w:r w:rsidRPr="00E53DB1">
        <w:rPr>
          <w:rFonts w:asciiTheme="minorHAnsi" w:hAnsiTheme="minorHAnsi" w:cstheme="minorHAnsi"/>
          <w:sz w:val="21"/>
          <w:szCs w:val="21"/>
        </w:rPr>
        <w:t xml:space="preserve">30). </w:t>
      </w:r>
    </w:p>
    <w:p w14:paraId="42A0BB41" w14:textId="77777777" w:rsidR="00E53DB1" w:rsidRDefault="00E53DB1" w:rsidP="00CE427B">
      <w:pPr>
        <w:pStyle w:val="Heading2"/>
      </w:pPr>
      <w:bookmarkStart w:id="47" w:name="_Toc49417884"/>
      <w:r>
        <w:t>Key ingredients of developing high parental expectations</w:t>
      </w:r>
      <w:bookmarkEnd w:id="47"/>
    </w:p>
    <w:p w14:paraId="2B3C7E5D" w14:textId="77777777" w:rsidR="00E53DB1" w:rsidRPr="00E53DB1" w:rsidRDefault="00E53DB1" w:rsidP="004C4453">
      <w:pPr>
        <w:rPr>
          <w:rFonts w:asciiTheme="minorHAnsi" w:hAnsiTheme="minorHAnsi" w:cstheme="minorHAnsi"/>
          <w:szCs w:val="21"/>
        </w:rPr>
      </w:pPr>
      <w:r w:rsidRPr="00E53DB1">
        <w:rPr>
          <w:rFonts w:asciiTheme="minorHAnsi" w:hAnsiTheme="minorHAnsi" w:cstheme="minorHAnsi"/>
          <w:szCs w:val="21"/>
        </w:rPr>
        <w:t>A range of ingredients have been established as supporting the development of high parental expectations of their child with disability:</w:t>
      </w:r>
    </w:p>
    <w:p w14:paraId="4AC86FC8" w14:textId="43ED974E" w:rsidR="00E53DB1" w:rsidRPr="00E53DB1" w:rsidRDefault="00E53DB1" w:rsidP="004C4453">
      <w:pPr>
        <w:pStyle w:val="Default"/>
        <w:numPr>
          <w:ilvl w:val="0"/>
          <w:numId w:val="11"/>
        </w:numPr>
        <w:spacing w:before="120" w:line="276" w:lineRule="auto"/>
        <w:rPr>
          <w:rFonts w:asciiTheme="minorHAnsi" w:hAnsiTheme="minorHAnsi" w:cstheme="minorHAnsi"/>
          <w:sz w:val="21"/>
          <w:szCs w:val="21"/>
        </w:rPr>
      </w:pPr>
      <w:r w:rsidRPr="00E53DB1">
        <w:rPr>
          <w:rFonts w:asciiTheme="minorHAnsi" w:hAnsiTheme="minorHAnsi" w:cstheme="minorHAnsi"/>
          <w:sz w:val="21"/>
          <w:szCs w:val="21"/>
        </w:rPr>
        <w:t xml:space="preserve">Parents and families should be supported to </w:t>
      </w:r>
      <w:r w:rsidRPr="00E53DB1">
        <w:rPr>
          <w:rFonts w:asciiTheme="minorHAnsi" w:hAnsiTheme="minorHAnsi" w:cstheme="minorHAnsi"/>
          <w:b/>
          <w:bCs/>
          <w:sz w:val="21"/>
          <w:szCs w:val="21"/>
        </w:rPr>
        <w:t>develop early positive expectations</w:t>
      </w:r>
      <w:r w:rsidRPr="00E53DB1">
        <w:rPr>
          <w:rFonts w:asciiTheme="minorHAnsi" w:hAnsiTheme="minorHAnsi" w:cstheme="minorHAnsi"/>
          <w:sz w:val="21"/>
          <w:szCs w:val="21"/>
        </w:rPr>
        <w:t xml:space="preserve"> of their child with intellectual disability’s employment future. Parents of young people report that it is important that they hold similar expectations for their child with a disability as they do for other children (</w:t>
      </w:r>
      <w:proofErr w:type="spellStart"/>
      <w:r w:rsidRPr="00E53DB1">
        <w:rPr>
          <w:rFonts w:asciiTheme="minorHAnsi" w:hAnsiTheme="minorHAnsi" w:cstheme="minorHAnsi"/>
          <w:sz w:val="21"/>
          <w:szCs w:val="21"/>
        </w:rPr>
        <w:t>Blustein</w:t>
      </w:r>
      <w:proofErr w:type="spellEnd"/>
      <w:r w:rsidRPr="00E53DB1">
        <w:rPr>
          <w:rFonts w:asciiTheme="minorHAnsi" w:hAnsiTheme="minorHAnsi" w:cstheme="minorHAnsi"/>
          <w:sz w:val="21"/>
          <w:szCs w:val="21"/>
        </w:rPr>
        <w:t xml:space="preserve"> et al., 2016; Francis</w:t>
      </w:r>
      <w:r w:rsidR="007760E2">
        <w:rPr>
          <w:rFonts w:asciiTheme="minorHAnsi" w:hAnsiTheme="minorHAnsi" w:cstheme="minorHAnsi"/>
          <w:sz w:val="21"/>
          <w:szCs w:val="21"/>
        </w:rPr>
        <w:t xml:space="preserve"> et al.,</w:t>
      </w:r>
      <w:r w:rsidRPr="00E53DB1">
        <w:rPr>
          <w:rFonts w:asciiTheme="minorHAnsi" w:hAnsiTheme="minorHAnsi" w:cstheme="minorHAnsi"/>
          <w:sz w:val="21"/>
          <w:szCs w:val="21"/>
        </w:rPr>
        <w:t xml:space="preserve"> 2018). </w:t>
      </w:r>
    </w:p>
    <w:p w14:paraId="067515C4" w14:textId="77777777" w:rsidR="00E53DB1" w:rsidRPr="00E53DB1" w:rsidRDefault="00E53DB1" w:rsidP="004C4453">
      <w:pPr>
        <w:pStyle w:val="Default"/>
        <w:numPr>
          <w:ilvl w:val="0"/>
          <w:numId w:val="11"/>
        </w:numPr>
        <w:spacing w:before="120" w:line="276" w:lineRule="auto"/>
        <w:rPr>
          <w:rFonts w:asciiTheme="minorHAnsi" w:hAnsiTheme="minorHAnsi" w:cstheme="minorHAnsi"/>
          <w:sz w:val="21"/>
          <w:szCs w:val="21"/>
        </w:rPr>
      </w:pPr>
      <w:r w:rsidRPr="00E53DB1">
        <w:rPr>
          <w:rFonts w:asciiTheme="minorHAnsi" w:hAnsiTheme="minorHAnsi" w:cstheme="minorHAnsi"/>
          <w:sz w:val="21"/>
          <w:szCs w:val="21"/>
        </w:rPr>
        <w:t xml:space="preserve">Parents should work to </w:t>
      </w:r>
      <w:r w:rsidRPr="00E53DB1">
        <w:rPr>
          <w:rFonts w:asciiTheme="minorHAnsi" w:hAnsiTheme="minorHAnsi" w:cstheme="minorHAnsi"/>
          <w:b/>
          <w:bCs/>
          <w:sz w:val="21"/>
          <w:szCs w:val="21"/>
        </w:rPr>
        <w:t>maintain high expectations</w:t>
      </w:r>
      <w:r w:rsidRPr="00E53DB1">
        <w:rPr>
          <w:rFonts w:asciiTheme="minorHAnsi" w:hAnsiTheme="minorHAnsi" w:cstheme="minorHAnsi"/>
          <w:sz w:val="21"/>
          <w:szCs w:val="21"/>
        </w:rPr>
        <w:t>. Parents of young people with intellectual and other disabilities reflecting on their experience advised parents to:</w:t>
      </w:r>
    </w:p>
    <w:p w14:paraId="54D0A5F7" w14:textId="0882502C" w:rsidR="00E53DB1" w:rsidRPr="00E53DB1" w:rsidRDefault="00E53DB1" w:rsidP="004C4453">
      <w:pPr>
        <w:pStyle w:val="Default"/>
        <w:spacing w:before="120" w:line="276" w:lineRule="auto"/>
        <w:ind w:left="1080"/>
        <w:rPr>
          <w:rFonts w:asciiTheme="minorHAnsi" w:hAnsiTheme="minorHAnsi" w:cstheme="minorHAnsi"/>
          <w:sz w:val="21"/>
          <w:szCs w:val="21"/>
        </w:rPr>
      </w:pPr>
      <w:r w:rsidRPr="00E53DB1">
        <w:rPr>
          <w:rFonts w:asciiTheme="minorHAnsi" w:hAnsiTheme="minorHAnsi" w:cstheme="minorHAnsi"/>
          <w:sz w:val="21"/>
          <w:szCs w:val="21"/>
        </w:rPr>
        <w:t xml:space="preserve">maintain a </w:t>
      </w:r>
      <w:r w:rsidR="003679C9">
        <w:rPr>
          <w:rFonts w:asciiTheme="minorHAnsi" w:hAnsiTheme="minorHAnsi" w:cstheme="minorHAnsi"/>
          <w:sz w:val="21"/>
          <w:szCs w:val="21"/>
        </w:rPr>
        <w:t>“</w:t>
      </w:r>
      <w:r w:rsidRPr="00E53DB1">
        <w:rPr>
          <w:rFonts w:asciiTheme="minorHAnsi" w:hAnsiTheme="minorHAnsi" w:cstheme="minorHAnsi"/>
          <w:sz w:val="21"/>
          <w:szCs w:val="21"/>
        </w:rPr>
        <w:t>picture</w:t>
      </w:r>
      <w:r w:rsidR="003679C9">
        <w:rPr>
          <w:rFonts w:asciiTheme="minorHAnsi" w:hAnsiTheme="minorHAnsi" w:cstheme="minorHAnsi"/>
          <w:sz w:val="21"/>
          <w:szCs w:val="21"/>
        </w:rPr>
        <w:t>”</w:t>
      </w:r>
      <w:r w:rsidRPr="00E53DB1">
        <w:rPr>
          <w:rFonts w:asciiTheme="minorHAnsi" w:hAnsiTheme="minorHAnsi" w:cstheme="minorHAnsi"/>
          <w:sz w:val="21"/>
          <w:szCs w:val="21"/>
        </w:rPr>
        <w:t xml:space="preserve"> of young adults as </w:t>
      </w:r>
      <w:r w:rsidR="003679C9">
        <w:rPr>
          <w:rFonts w:asciiTheme="minorHAnsi" w:hAnsiTheme="minorHAnsi" w:cstheme="minorHAnsi"/>
          <w:sz w:val="21"/>
          <w:szCs w:val="21"/>
        </w:rPr>
        <w:t>“</w:t>
      </w:r>
      <w:r w:rsidRPr="00E53DB1">
        <w:rPr>
          <w:rFonts w:asciiTheme="minorHAnsi" w:hAnsiTheme="minorHAnsi" w:cstheme="minorHAnsi"/>
          <w:sz w:val="21"/>
          <w:szCs w:val="21"/>
        </w:rPr>
        <w:t>completely capable, independent, not on disability</w:t>
      </w:r>
      <w:r w:rsidR="003679C9">
        <w:rPr>
          <w:rFonts w:asciiTheme="minorHAnsi" w:hAnsiTheme="minorHAnsi" w:cstheme="minorHAnsi"/>
          <w:sz w:val="21"/>
          <w:szCs w:val="21"/>
        </w:rPr>
        <w:t>”</w:t>
      </w:r>
      <w:r w:rsidRPr="00E53DB1">
        <w:rPr>
          <w:rFonts w:asciiTheme="minorHAnsi" w:hAnsiTheme="minorHAnsi" w:cstheme="minorHAnsi"/>
          <w:sz w:val="21"/>
          <w:szCs w:val="21"/>
        </w:rPr>
        <w:t xml:space="preserve"> benefits, </w:t>
      </w:r>
      <w:r w:rsidR="003679C9">
        <w:rPr>
          <w:rFonts w:asciiTheme="minorHAnsi" w:hAnsiTheme="minorHAnsi" w:cstheme="minorHAnsi"/>
          <w:sz w:val="21"/>
          <w:szCs w:val="21"/>
        </w:rPr>
        <w:t>“</w:t>
      </w:r>
      <w:r w:rsidRPr="00E53DB1">
        <w:rPr>
          <w:rFonts w:asciiTheme="minorHAnsi" w:hAnsiTheme="minorHAnsi" w:cstheme="minorHAnsi"/>
          <w:sz w:val="21"/>
          <w:szCs w:val="21"/>
        </w:rPr>
        <w:t>getting married</w:t>
      </w:r>
      <w:r w:rsidR="003679C9">
        <w:rPr>
          <w:rFonts w:asciiTheme="minorHAnsi" w:hAnsiTheme="minorHAnsi" w:cstheme="minorHAnsi"/>
          <w:sz w:val="21"/>
          <w:szCs w:val="21"/>
        </w:rPr>
        <w:t>”</w:t>
      </w:r>
      <w:r w:rsidRPr="00E53DB1">
        <w:rPr>
          <w:rFonts w:asciiTheme="minorHAnsi" w:hAnsiTheme="minorHAnsi" w:cstheme="minorHAnsi"/>
          <w:sz w:val="21"/>
          <w:szCs w:val="21"/>
        </w:rPr>
        <w:t xml:space="preserve"> or </w:t>
      </w:r>
      <w:r w:rsidR="003679C9">
        <w:rPr>
          <w:rFonts w:asciiTheme="minorHAnsi" w:hAnsiTheme="minorHAnsi" w:cstheme="minorHAnsi"/>
          <w:sz w:val="21"/>
          <w:szCs w:val="21"/>
        </w:rPr>
        <w:t>“</w:t>
      </w:r>
      <w:r w:rsidRPr="00E53DB1">
        <w:rPr>
          <w:rFonts w:asciiTheme="minorHAnsi" w:hAnsiTheme="minorHAnsi" w:cstheme="minorHAnsi"/>
          <w:sz w:val="21"/>
          <w:szCs w:val="21"/>
        </w:rPr>
        <w:t>feeling connected and valuable</w:t>
      </w:r>
      <w:r w:rsidR="003679C9">
        <w:rPr>
          <w:rFonts w:asciiTheme="minorHAnsi" w:hAnsiTheme="minorHAnsi" w:cstheme="minorHAnsi"/>
          <w:sz w:val="21"/>
          <w:szCs w:val="21"/>
        </w:rPr>
        <w:t>”</w:t>
      </w:r>
      <w:r w:rsidRPr="00E53DB1">
        <w:rPr>
          <w:rFonts w:asciiTheme="minorHAnsi" w:hAnsiTheme="minorHAnsi" w:cstheme="minorHAnsi"/>
          <w:sz w:val="21"/>
          <w:szCs w:val="21"/>
        </w:rPr>
        <w:t xml:space="preserve"> in their communities. Participants reported </w:t>
      </w:r>
      <w:r w:rsidR="003679C9">
        <w:rPr>
          <w:rFonts w:asciiTheme="minorHAnsi" w:hAnsiTheme="minorHAnsi" w:cstheme="minorHAnsi"/>
          <w:sz w:val="21"/>
          <w:szCs w:val="21"/>
        </w:rPr>
        <w:t>“</w:t>
      </w:r>
      <w:r w:rsidRPr="00E53DB1">
        <w:rPr>
          <w:rFonts w:asciiTheme="minorHAnsi" w:hAnsiTheme="minorHAnsi" w:cstheme="minorHAnsi"/>
          <w:sz w:val="21"/>
          <w:szCs w:val="21"/>
        </w:rPr>
        <w:t>always telling</w:t>
      </w:r>
      <w:r w:rsidR="003679C9">
        <w:rPr>
          <w:rFonts w:asciiTheme="minorHAnsi" w:hAnsiTheme="minorHAnsi" w:cstheme="minorHAnsi"/>
          <w:sz w:val="21"/>
          <w:szCs w:val="21"/>
        </w:rPr>
        <w:t>”</w:t>
      </w:r>
      <w:r w:rsidRPr="00E53DB1">
        <w:rPr>
          <w:rFonts w:asciiTheme="minorHAnsi" w:hAnsiTheme="minorHAnsi" w:cstheme="minorHAnsi"/>
          <w:sz w:val="21"/>
          <w:szCs w:val="21"/>
        </w:rPr>
        <w:t xml:space="preserve"> young adults </w:t>
      </w:r>
      <w:r w:rsidR="003679C9">
        <w:rPr>
          <w:rFonts w:asciiTheme="minorHAnsi" w:hAnsiTheme="minorHAnsi" w:cstheme="minorHAnsi"/>
          <w:sz w:val="21"/>
          <w:szCs w:val="21"/>
        </w:rPr>
        <w:t>“</w:t>
      </w:r>
      <w:r w:rsidRPr="00E53DB1">
        <w:rPr>
          <w:rFonts w:asciiTheme="minorHAnsi" w:hAnsiTheme="minorHAnsi" w:cstheme="minorHAnsi"/>
          <w:sz w:val="21"/>
          <w:szCs w:val="21"/>
        </w:rPr>
        <w:t>all of the things they could accomplish</w:t>
      </w:r>
      <w:r w:rsidR="003679C9">
        <w:rPr>
          <w:rFonts w:asciiTheme="minorHAnsi" w:hAnsiTheme="minorHAnsi" w:cstheme="minorHAnsi"/>
          <w:sz w:val="21"/>
          <w:szCs w:val="21"/>
        </w:rPr>
        <w:t>”</w:t>
      </w:r>
      <w:r w:rsidRPr="00E53DB1">
        <w:rPr>
          <w:rFonts w:asciiTheme="minorHAnsi" w:hAnsiTheme="minorHAnsi" w:cstheme="minorHAnsi"/>
          <w:sz w:val="21"/>
          <w:szCs w:val="21"/>
        </w:rPr>
        <w:t>, including going to college, working and living in the community. Participants indicated that these demonstrations of high expectations resulted in young adults developing a positive self-concept and motivation to develop and achieve goals (Francis et al., 2018, p. 286)</w:t>
      </w:r>
      <w:r w:rsidR="000439FE">
        <w:rPr>
          <w:rFonts w:asciiTheme="minorHAnsi" w:hAnsiTheme="minorHAnsi" w:cstheme="minorHAnsi"/>
          <w:sz w:val="21"/>
          <w:szCs w:val="21"/>
        </w:rPr>
        <w:t>.</w:t>
      </w:r>
    </w:p>
    <w:p w14:paraId="637BE38C" w14:textId="77DF8485" w:rsidR="00E53DB1" w:rsidRPr="00E53DB1" w:rsidRDefault="00E53DB1" w:rsidP="004C4453">
      <w:pPr>
        <w:pStyle w:val="Default"/>
        <w:spacing w:before="120" w:line="276" w:lineRule="auto"/>
        <w:ind w:left="720"/>
        <w:rPr>
          <w:rFonts w:asciiTheme="minorHAnsi" w:hAnsiTheme="minorHAnsi" w:cstheme="minorHAnsi"/>
          <w:sz w:val="21"/>
          <w:szCs w:val="21"/>
        </w:rPr>
      </w:pPr>
      <w:r w:rsidRPr="00E53DB1">
        <w:rPr>
          <w:rFonts w:asciiTheme="minorHAnsi" w:hAnsiTheme="minorHAnsi" w:cstheme="minorHAnsi"/>
          <w:sz w:val="21"/>
          <w:szCs w:val="21"/>
        </w:rPr>
        <w:t xml:space="preserve">To maintain high expectations, parents identified that they resisted letting their young person </w:t>
      </w:r>
      <w:r w:rsidR="006D546A">
        <w:rPr>
          <w:rFonts w:asciiTheme="minorHAnsi" w:hAnsiTheme="minorHAnsi" w:cstheme="minorHAnsi"/>
          <w:sz w:val="21"/>
          <w:szCs w:val="21"/>
        </w:rPr>
        <w:t>“</w:t>
      </w:r>
      <w:r w:rsidRPr="00E53DB1">
        <w:rPr>
          <w:rFonts w:asciiTheme="minorHAnsi" w:hAnsiTheme="minorHAnsi" w:cstheme="minorHAnsi"/>
          <w:sz w:val="21"/>
          <w:szCs w:val="21"/>
        </w:rPr>
        <w:t>get away with things</w:t>
      </w:r>
      <w:r w:rsidR="006D546A">
        <w:rPr>
          <w:rFonts w:asciiTheme="minorHAnsi" w:hAnsiTheme="minorHAnsi" w:cstheme="minorHAnsi"/>
          <w:sz w:val="21"/>
          <w:szCs w:val="21"/>
        </w:rPr>
        <w:t>”</w:t>
      </w:r>
      <w:r w:rsidRPr="00E53DB1">
        <w:rPr>
          <w:rFonts w:asciiTheme="minorHAnsi" w:hAnsiTheme="minorHAnsi" w:cstheme="minorHAnsi"/>
          <w:sz w:val="21"/>
          <w:szCs w:val="21"/>
        </w:rPr>
        <w:t xml:space="preserve"> and held them accountable to expectations about housework, chores and homework (Francis et al., 2018, p.</w:t>
      </w:r>
      <w:r w:rsidR="00A67C25">
        <w:rPr>
          <w:rFonts w:asciiTheme="minorHAnsi" w:hAnsiTheme="minorHAnsi" w:cstheme="minorHAnsi"/>
          <w:sz w:val="21"/>
          <w:szCs w:val="21"/>
        </w:rPr>
        <w:t xml:space="preserve"> </w:t>
      </w:r>
      <w:r w:rsidRPr="00E53DB1">
        <w:rPr>
          <w:rFonts w:asciiTheme="minorHAnsi" w:hAnsiTheme="minorHAnsi" w:cstheme="minorHAnsi"/>
          <w:sz w:val="21"/>
          <w:szCs w:val="21"/>
        </w:rPr>
        <w:t>286). Three strategies were specifically recommended: hold young adults accountable; expect that young adults will experience and overcome failure; locate positive examples of young adults in the community (Francis et al., 2018, p.</w:t>
      </w:r>
      <w:r w:rsidR="007760E2">
        <w:rPr>
          <w:rFonts w:asciiTheme="minorHAnsi" w:hAnsiTheme="minorHAnsi" w:cstheme="minorHAnsi"/>
          <w:sz w:val="21"/>
          <w:szCs w:val="21"/>
        </w:rPr>
        <w:t xml:space="preserve"> </w:t>
      </w:r>
      <w:r w:rsidRPr="00E53DB1">
        <w:rPr>
          <w:rFonts w:asciiTheme="minorHAnsi" w:hAnsiTheme="minorHAnsi" w:cstheme="minorHAnsi"/>
          <w:sz w:val="21"/>
          <w:szCs w:val="21"/>
        </w:rPr>
        <w:t>291).</w:t>
      </w:r>
    </w:p>
    <w:p w14:paraId="22D56480" w14:textId="776F643B" w:rsidR="00E53DB1" w:rsidRPr="00E53DB1" w:rsidRDefault="00E53DB1" w:rsidP="004C4453">
      <w:pPr>
        <w:pStyle w:val="Default"/>
        <w:numPr>
          <w:ilvl w:val="0"/>
          <w:numId w:val="11"/>
        </w:numPr>
        <w:spacing w:before="120" w:line="276" w:lineRule="auto"/>
        <w:rPr>
          <w:rFonts w:asciiTheme="minorHAnsi" w:hAnsiTheme="minorHAnsi" w:cstheme="minorHAnsi"/>
          <w:sz w:val="21"/>
          <w:szCs w:val="21"/>
        </w:rPr>
      </w:pPr>
      <w:r w:rsidRPr="00E53DB1">
        <w:rPr>
          <w:rFonts w:asciiTheme="minorHAnsi" w:hAnsiTheme="minorHAnsi" w:cstheme="minorHAnsi"/>
          <w:sz w:val="21"/>
          <w:szCs w:val="21"/>
        </w:rPr>
        <w:t xml:space="preserve">Parents and families should </w:t>
      </w:r>
      <w:r w:rsidRPr="00E53DB1">
        <w:rPr>
          <w:rFonts w:asciiTheme="minorHAnsi" w:hAnsiTheme="minorHAnsi" w:cstheme="minorHAnsi"/>
          <w:b/>
          <w:bCs/>
          <w:sz w:val="21"/>
          <w:szCs w:val="21"/>
        </w:rPr>
        <w:t>be equipped with employment and transition knowledge</w:t>
      </w:r>
      <w:r w:rsidRPr="00E53DB1">
        <w:rPr>
          <w:rFonts w:asciiTheme="minorHAnsi" w:hAnsiTheme="minorHAnsi" w:cstheme="minorHAnsi"/>
          <w:sz w:val="21"/>
          <w:szCs w:val="21"/>
        </w:rPr>
        <w:t xml:space="preserve">, such as how to </w:t>
      </w:r>
      <w:proofErr w:type="spellStart"/>
      <w:r w:rsidRPr="00E53DB1">
        <w:rPr>
          <w:rFonts w:asciiTheme="minorHAnsi" w:hAnsiTheme="minorHAnsi" w:cstheme="minorHAnsi"/>
          <w:sz w:val="21"/>
          <w:szCs w:val="21"/>
        </w:rPr>
        <w:t>utili</w:t>
      </w:r>
      <w:r w:rsidR="002B6DA9">
        <w:rPr>
          <w:rFonts w:asciiTheme="minorHAnsi" w:hAnsiTheme="minorHAnsi" w:cstheme="minorHAnsi"/>
          <w:sz w:val="21"/>
          <w:szCs w:val="21"/>
        </w:rPr>
        <w:t>s</w:t>
      </w:r>
      <w:r w:rsidRPr="00E53DB1">
        <w:rPr>
          <w:rFonts w:asciiTheme="minorHAnsi" w:hAnsiTheme="minorHAnsi" w:cstheme="minorHAnsi"/>
          <w:sz w:val="21"/>
          <w:szCs w:val="21"/>
        </w:rPr>
        <w:t>e</w:t>
      </w:r>
      <w:proofErr w:type="spellEnd"/>
      <w:r w:rsidRPr="00E53DB1">
        <w:rPr>
          <w:rFonts w:asciiTheme="minorHAnsi" w:hAnsiTheme="minorHAnsi" w:cstheme="minorHAnsi"/>
          <w:sz w:val="21"/>
          <w:szCs w:val="21"/>
        </w:rPr>
        <w:t xml:space="preserve"> formal and informal supports including drawing on other family, friends and networks (Francis et al., 2013).</w:t>
      </w:r>
    </w:p>
    <w:p w14:paraId="6F7D58E4" w14:textId="6919F29A" w:rsidR="00E53DB1" w:rsidRPr="00E53DB1" w:rsidRDefault="00E53DB1" w:rsidP="004C4453">
      <w:pPr>
        <w:pStyle w:val="Default"/>
        <w:numPr>
          <w:ilvl w:val="0"/>
          <w:numId w:val="11"/>
        </w:numPr>
        <w:spacing w:before="120" w:line="276" w:lineRule="auto"/>
        <w:rPr>
          <w:rFonts w:asciiTheme="minorHAnsi" w:hAnsiTheme="minorHAnsi" w:cstheme="minorHAnsi"/>
          <w:sz w:val="21"/>
          <w:szCs w:val="21"/>
        </w:rPr>
      </w:pPr>
      <w:r w:rsidRPr="00E53DB1">
        <w:rPr>
          <w:rFonts w:asciiTheme="minorHAnsi" w:hAnsiTheme="minorHAnsi" w:cstheme="minorHAnsi"/>
          <w:sz w:val="21"/>
          <w:szCs w:val="21"/>
        </w:rPr>
        <w:t xml:space="preserve">The </w:t>
      </w:r>
      <w:r w:rsidRPr="00E53DB1">
        <w:rPr>
          <w:rFonts w:asciiTheme="minorHAnsi" w:hAnsiTheme="minorHAnsi" w:cstheme="minorHAnsi"/>
          <w:b/>
          <w:bCs/>
          <w:sz w:val="21"/>
          <w:szCs w:val="21"/>
        </w:rPr>
        <w:t>service system should be a major source of support</w:t>
      </w:r>
      <w:r w:rsidRPr="00E53DB1">
        <w:rPr>
          <w:rFonts w:asciiTheme="minorHAnsi" w:hAnsiTheme="minorHAnsi" w:cstheme="minorHAnsi"/>
          <w:sz w:val="21"/>
          <w:szCs w:val="21"/>
        </w:rPr>
        <w:t xml:space="preserve"> and connect with families as early as possible to influence employment expectations (Hall et al., 2018, p.</w:t>
      </w:r>
      <w:r w:rsidR="00727E66">
        <w:rPr>
          <w:rFonts w:asciiTheme="minorHAnsi" w:hAnsiTheme="minorHAnsi" w:cstheme="minorHAnsi"/>
          <w:sz w:val="21"/>
          <w:szCs w:val="21"/>
        </w:rPr>
        <w:t xml:space="preserve"> </w:t>
      </w:r>
      <w:r w:rsidRPr="00E53DB1">
        <w:rPr>
          <w:rFonts w:asciiTheme="minorHAnsi" w:hAnsiTheme="minorHAnsi" w:cstheme="minorHAnsi"/>
          <w:sz w:val="21"/>
          <w:szCs w:val="21"/>
        </w:rPr>
        <w:t>210). There is evidence that parents and family members can be supported to raise expectations by:</w:t>
      </w:r>
    </w:p>
    <w:p w14:paraId="36C80D3A" w14:textId="77777777" w:rsidR="00E53DB1" w:rsidRPr="00E53DB1" w:rsidRDefault="00E53DB1" w:rsidP="004C4453">
      <w:pPr>
        <w:pStyle w:val="ListParagraph"/>
        <w:numPr>
          <w:ilvl w:val="0"/>
          <w:numId w:val="12"/>
        </w:numPr>
        <w:snapToGrid w:val="0"/>
        <w:spacing w:line="276" w:lineRule="auto"/>
        <w:contextualSpacing w:val="0"/>
        <w:rPr>
          <w:rFonts w:asciiTheme="minorHAnsi" w:hAnsiTheme="minorHAnsi" w:cstheme="minorHAnsi"/>
          <w:szCs w:val="21"/>
        </w:rPr>
      </w:pPr>
      <w:r w:rsidRPr="00E53DB1">
        <w:rPr>
          <w:rFonts w:asciiTheme="minorHAnsi" w:hAnsiTheme="minorHAnsi" w:cstheme="minorHAnsi"/>
          <w:szCs w:val="21"/>
        </w:rPr>
        <w:t>accessing information and resources via training (Francis et al., 2013). For example, the Family Employment Awareness Training (FEAT) program in the United States, offering face to face training about integrated employment over two days, has been found to increase participants’ expectations for competitive employment and knowledge of employment services and supports (Francis et al., 2013);</w:t>
      </w:r>
    </w:p>
    <w:p w14:paraId="33B04137" w14:textId="7B60070A" w:rsidR="00E53DB1" w:rsidRPr="00E53DB1" w:rsidRDefault="00E53DB1" w:rsidP="004C4453">
      <w:pPr>
        <w:pStyle w:val="Default"/>
        <w:numPr>
          <w:ilvl w:val="0"/>
          <w:numId w:val="12"/>
        </w:numPr>
        <w:spacing w:before="120" w:line="276" w:lineRule="auto"/>
        <w:rPr>
          <w:rFonts w:asciiTheme="minorHAnsi" w:hAnsiTheme="minorHAnsi" w:cstheme="minorHAnsi"/>
          <w:sz w:val="21"/>
          <w:szCs w:val="21"/>
        </w:rPr>
      </w:pPr>
      <w:r w:rsidRPr="00E53DB1">
        <w:rPr>
          <w:rFonts w:asciiTheme="minorHAnsi" w:hAnsiTheme="minorHAnsi" w:cstheme="minorHAnsi"/>
          <w:sz w:val="21"/>
          <w:szCs w:val="21"/>
        </w:rPr>
        <w:t>engaging people with intellectual disability in work experience as this offers the opportunity for people with disability to demonstrate their capabilities and to build expectations of those around them (Bellman et al., 2014; Chambers et al., 2004; Simonsen &amp; Neubert, 201</w:t>
      </w:r>
      <w:r w:rsidR="00E82DCD">
        <w:rPr>
          <w:rFonts w:asciiTheme="minorHAnsi" w:hAnsiTheme="minorHAnsi" w:cstheme="minorHAnsi"/>
          <w:sz w:val="21"/>
          <w:szCs w:val="21"/>
        </w:rPr>
        <w:t>3</w:t>
      </w:r>
      <w:r w:rsidRPr="00E53DB1">
        <w:rPr>
          <w:rFonts w:asciiTheme="minorHAnsi" w:hAnsiTheme="minorHAnsi" w:cstheme="minorHAnsi"/>
          <w:sz w:val="21"/>
          <w:szCs w:val="21"/>
        </w:rPr>
        <w:t xml:space="preserve">; </w:t>
      </w:r>
      <w:proofErr w:type="spellStart"/>
      <w:r w:rsidRPr="00E53DB1">
        <w:rPr>
          <w:rFonts w:asciiTheme="minorHAnsi" w:hAnsiTheme="minorHAnsi" w:cstheme="minorHAnsi"/>
          <w:sz w:val="21"/>
          <w:szCs w:val="21"/>
        </w:rPr>
        <w:t>Skellern</w:t>
      </w:r>
      <w:proofErr w:type="spellEnd"/>
      <w:r w:rsidRPr="00E53DB1">
        <w:rPr>
          <w:rFonts w:asciiTheme="minorHAnsi" w:hAnsiTheme="minorHAnsi" w:cstheme="minorHAnsi"/>
          <w:sz w:val="21"/>
          <w:szCs w:val="21"/>
        </w:rPr>
        <w:t xml:space="preserve"> &amp; Astbury, 2014);</w:t>
      </w:r>
    </w:p>
    <w:p w14:paraId="7100AE9C" w14:textId="69E238F9" w:rsidR="00E53DB1" w:rsidRPr="008926C2" w:rsidRDefault="00E53DB1" w:rsidP="004C4453">
      <w:pPr>
        <w:pStyle w:val="Default"/>
        <w:numPr>
          <w:ilvl w:val="0"/>
          <w:numId w:val="12"/>
        </w:numPr>
        <w:spacing w:before="120" w:line="276" w:lineRule="auto"/>
        <w:rPr>
          <w:rFonts w:asciiTheme="minorHAnsi" w:hAnsiTheme="minorHAnsi" w:cstheme="minorHAnsi"/>
          <w:sz w:val="21"/>
          <w:szCs w:val="21"/>
        </w:rPr>
      </w:pPr>
      <w:r w:rsidRPr="00E53DB1">
        <w:rPr>
          <w:rFonts w:asciiTheme="minorHAnsi" w:hAnsiTheme="minorHAnsi" w:cstheme="minorHAnsi"/>
          <w:sz w:val="21"/>
          <w:szCs w:val="21"/>
        </w:rPr>
        <w:t>accessing mentoring, training, and timely information and support to navigate systems. This has been shown to raise expectations of family members about post school employment and influence decision making (Carter et al., 2017; Chambers et al., 2004). The support of peers (i.e. other parents) has been noted to be particularly helpful (Francis et al., 2018).</w:t>
      </w:r>
    </w:p>
    <w:p w14:paraId="781C146D" w14:textId="09EDFF81" w:rsidR="00E53DB1" w:rsidRDefault="00902F7E" w:rsidP="00CE427B">
      <w:pPr>
        <w:pStyle w:val="Heading1"/>
      </w:pPr>
      <w:bookmarkStart w:id="48" w:name="_Toc49462459"/>
      <w:r>
        <w:lastRenderedPageBreak/>
        <w:t>Evidence piece 3:</w:t>
      </w:r>
      <w:bookmarkEnd w:id="48"/>
    </w:p>
    <w:p w14:paraId="46E85C2C" w14:textId="2AE09BEA" w:rsidR="00902F7E" w:rsidRDefault="00902F7E" w:rsidP="00CE427B">
      <w:pPr>
        <w:pStyle w:val="Heading1"/>
        <w:pBdr>
          <w:bottom w:val="single" w:sz="4" w:space="1" w:color="auto"/>
        </w:pBdr>
        <w:spacing w:line="276" w:lineRule="auto"/>
      </w:pPr>
      <w:bookmarkStart w:id="49" w:name="_Toc49462460"/>
      <w:r>
        <w:t>The role of family and friends in influencing employment for people with intellectual disability</w:t>
      </w:r>
      <w:bookmarkEnd w:id="49"/>
    </w:p>
    <w:p w14:paraId="5B24DF8C" w14:textId="77777777" w:rsidR="00902F7E" w:rsidRDefault="00902F7E" w:rsidP="00CE427B">
      <w:pPr>
        <w:snapToGrid w:val="0"/>
        <w:spacing w:after="120" w:line="276" w:lineRule="auto"/>
      </w:pPr>
    </w:p>
    <w:p w14:paraId="30A0D65A" w14:textId="77777777" w:rsidR="00902F7E" w:rsidRDefault="00902F7E" w:rsidP="00CE427B">
      <w:pPr>
        <w:pStyle w:val="Heading2"/>
        <w:spacing w:line="276" w:lineRule="auto"/>
      </w:pPr>
      <w:bookmarkStart w:id="50" w:name="_Toc49417887"/>
      <w:r>
        <w:t>Who is influential in a young person’s life and on their employment outcomes?</w:t>
      </w:r>
      <w:bookmarkEnd w:id="50"/>
    </w:p>
    <w:p w14:paraId="254C0207" w14:textId="6DBA8BAE" w:rsidR="00902F7E" w:rsidRDefault="00902F7E" w:rsidP="00176ED1">
      <w:pPr>
        <w:spacing w:line="276" w:lineRule="auto"/>
      </w:pPr>
      <w:r w:rsidRPr="00567A0C">
        <w:t xml:space="preserve">The people with whom we have a personal relationship are important influencers in most people’s lives, including the lives of people with intellectual disability. Given that families (e.g., parents, siblings, other close relatives) </w:t>
      </w:r>
      <w:r w:rsidR="00C948F5">
        <w:t>“</w:t>
      </w:r>
      <w:r w:rsidRPr="00567A0C">
        <w:t>represent the most prominent and enduring sources of support and guidance</w:t>
      </w:r>
      <w:r w:rsidR="00C948F5">
        <w:t>”</w:t>
      </w:r>
      <w:r w:rsidRPr="00567A0C">
        <w:t xml:space="preserve"> for people with intellectual disability (Gilson et al.,</w:t>
      </w:r>
      <w:r w:rsidR="004358AB">
        <w:t xml:space="preserve"> </w:t>
      </w:r>
      <w:r w:rsidRPr="00567A0C">
        <w:t>2018, p.</w:t>
      </w:r>
      <w:r w:rsidR="004358AB">
        <w:t xml:space="preserve"> </w:t>
      </w:r>
      <w:r w:rsidRPr="00567A0C">
        <w:t>21), it is not surprising that they hold influential roles in relation to employment.</w:t>
      </w:r>
      <w:r w:rsidRPr="00FD27D6">
        <w:t xml:space="preserve"> </w:t>
      </w:r>
    </w:p>
    <w:p w14:paraId="6FF69D62" w14:textId="77777777" w:rsidR="00902F7E" w:rsidRDefault="00902F7E" w:rsidP="00176ED1">
      <w:pPr>
        <w:spacing w:line="276" w:lineRule="auto"/>
      </w:pPr>
      <w:r w:rsidRPr="00FD27D6">
        <w:t>Social networks and contacts build social capital</w:t>
      </w:r>
      <w:r w:rsidRPr="00567A0C">
        <w:t xml:space="preserve"> </w:t>
      </w:r>
      <w:r>
        <w:t xml:space="preserve">(Putnam, 2000) </w:t>
      </w:r>
      <w:r w:rsidRPr="00567A0C">
        <w:t>which is important to a range of individual</w:t>
      </w:r>
      <w:r w:rsidRPr="00543DF0">
        <w:t xml:space="preserve"> outcomes including the employment success of persons with disability</w:t>
      </w:r>
      <w:r>
        <w:t>. Social n</w:t>
      </w:r>
      <w:r w:rsidRPr="00543DF0">
        <w:t>etworks impact the employment of persons with a disability in much the same way that they do for everyone else (Potts, 2005). Research</w:t>
      </w:r>
      <w:r>
        <w:t xml:space="preserve"> has provided evidence that the following types of relationships can influence employment aspirations and outcomes for people with disability:</w:t>
      </w:r>
    </w:p>
    <w:p w14:paraId="6300A672" w14:textId="77777777" w:rsidR="00902F7E" w:rsidRDefault="00902F7E" w:rsidP="00176ED1">
      <w:pPr>
        <w:pStyle w:val="ListParagraph"/>
        <w:numPr>
          <w:ilvl w:val="0"/>
          <w:numId w:val="13"/>
        </w:numPr>
        <w:spacing w:line="276" w:lineRule="auto"/>
      </w:pPr>
      <w:r>
        <w:t>Parents</w:t>
      </w:r>
    </w:p>
    <w:p w14:paraId="2AFE4858" w14:textId="77777777" w:rsidR="00902F7E" w:rsidRDefault="00902F7E" w:rsidP="00176ED1">
      <w:pPr>
        <w:pStyle w:val="ListParagraph"/>
        <w:numPr>
          <w:ilvl w:val="0"/>
          <w:numId w:val="13"/>
        </w:numPr>
        <w:spacing w:line="276" w:lineRule="auto"/>
      </w:pPr>
      <w:r>
        <w:t>Family members</w:t>
      </w:r>
    </w:p>
    <w:p w14:paraId="782A2524" w14:textId="77777777" w:rsidR="00902F7E" w:rsidRDefault="00902F7E" w:rsidP="00176ED1">
      <w:pPr>
        <w:pStyle w:val="ListParagraph"/>
        <w:numPr>
          <w:ilvl w:val="0"/>
          <w:numId w:val="13"/>
        </w:numPr>
        <w:spacing w:line="276" w:lineRule="auto"/>
      </w:pPr>
      <w:r>
        <w:t>Friends</w:t>
      </w:r>
    </w:p>
    <w:p w14:paraId="03DFD9BB" w14:textId="77777777" w:rsidR="00902F7E" w:rsidRDefault="00902F7E" w:rsidP="00176ED1">
      <w:pPr>
        <w:pStyle w:val="ListParagraph"/>
        <w:numPr>
          <w:ilvl w:val="0"/>
          <w:numId w:val="13"/>
        </w:numPr>
        <w:spacing w:line="276" w:lineRule="auto"/>
      </w:pPr>
      <w:r>
        <w:t>Teachers</w:t>
      </w:r>
    </w:p>
    <w:p w14:paraId="3DB093F4" w14:textId="77777777" w:rsidR="00902F7E" w:rsidRDefault="00902F7E" w:rsidP="00176ED1">
      <w:pPr>
        <w:pStyle w:val="ListParagraph"/>
        <w:numPr>
          <w:ilvl w:val="0"/>
          <w:numId w:val="13"/>
        </w:numPr>
        <w:spacing w:line="276" w:lineRule="auto"/>
      </w:pPr>
      <w:r>
        <w:t>Transition advisors</w:t>
      </w:r>
    </w:p>
    <w:p w14:paraId="3A28DA3F" w14:textId="11962E61" w:rsidR="00902F7E" w:rsidRDefault="00902F7E" w:rsidP="00176ED1">
      <w:pPr>
        <w:pStyle w:val="ListParagraph"/>
        <w:numPr>
          <w:ilvl w:val="0"/>
          <w:numId w:val="13"/>
        </w:numPr>
        <w:spacing w:line="276" w:lineRule="auto"/>
      </w:pPr>
      <w:r>
        <w:t>Peers (Lindsay et al., 2015; Antonelli et al., 2018; Carter et al., 2017; Chambers</w:t>
      </w:r>
      <w:r w:rsidR="001350C0">
        <w:t xml:space="preserve"> et al.</w:t>
      </w:r>
      <w:r>
        <w:t>, 2004).</w:t>
      </w:r>
    </w:p>
    <w:p w14:paraId="4C497E39" w14:textId="57675839" w:rsidR="00902F7E" w:rsidRPr="00332D1D" w:rsidRDefault="00902F7E" w:rsidP="00176ED1">
      <w:pPr>
        <w:snapToGrid w:val="0"/>
        <w:spacing w:line="276" w:lineRule="auto"/>
      </w:pPr>
      <w:r w:rsidRPr="00332D1D">
        <w:t xml:space="preserve">In the UK, in major government policy evaluations, supportive families have been </w:t>
      </w:r>
      <w:r w:rsidRPr="00332D1D">
        <w:rPr>
          <w:rFonts w:cs="Advhel_light"/>
        </w:rPr>
        <w:t xml:space="preserve">found to be </w:t>
      </w:r>
      <w:r w:rsidR="00551F05">
        <w:rPr>
          <w:rFonts w:cs="Advhel_light"/>
        </w:rPr>
        <w:t>“</w:t>
      </w:r>
      <w:r w:rsidRPr="00332D1D">
        <w:rPr>
          <w:rFonts w:cs="Advhel_light"/>
        </w:rPr>
        <w:t>a key element in encouraging people with learning disabilities to seek paid work</w:t>
      </w:r>
      <w:r w:rsidR="00551F05">
        <w:rPr>
          <w:rFonts w:cs="Advhel_light"/>
        </w:rPr>
        <w:t>”</w:t>
      </w:r>
      <w:r w:rsidRPr="00332D1D">
        <w:rPr>
          <w:rFonts w:cs="Advhel_light"/>
        </w:rPr>
        <w:t xml:space="preserve"> (Reddington &amp; Fitzsimons, 2013, p.</w:t>
      </w:r>
      <w:r w:rsidR="00186B99">
        <w:rPr>
          <w:rFonts w:cs="Advhel_light"/>
        </w:rPr>
        <w:t xml:space="preserve"> </w:t>
      </w:r>
      <w:r w:rsidRPr="00332D1D">
        <w:rPr>
          <w:rFonts w:cs="Advhel_light"/>
        </w:rPr>
        <w:t>128).</w:t>
      </w:r>
      <w:r>
        <w:rPr>
          <w:rFonts w:cs="Advhel_light"/>
        </w:rPr>
        <w:t xml:space="preserve"> </w:t>
      </w:r>
      <w:r>
        <w:t xml:space="preserve">In addition, research has found that alongside family, professionals such as teachers, paraprofessionals, job coaches, transition coordinators, </w:t>
      </w:r>
      <w:r w:rsidR="00B754B2">
        <w:t>“</w:t>
      </w:r>
      <w:r>
        <w:t>strongly influence the likelihood of competitive employment</w:t>
      </w:r>
      <w:r w:rsidR="00B754B2">
        <w:t>”</w:t>
      </w:r>
      <w:r>
        <w:t xml:space="preserve"> (Francis et al., 2013, p.</w:t>
      </w:r>
      <w:r w:rsidR="00186B99">
        <w:t xml:space="preserve"> </w:t>
      </w:r>
      <w:r>
        <w:t>45). The influence and role of professionals becomes even more important for people who lack family support (Francis et al., 2013).</w:t>
      </w:r>
    </w:p>
    <w:p w14:paraId="3A7C3AA8" w14:textId="77777777" w:rsidR="00902F7E" w:rsidRDefault="00902F7E" w:rsidP="00CE427B">
      <w:pPr>
        <w:pStyle w:val="Heading2"/>
        <w:spacing w:line="276" w:lineRule="auto"/>
      </w:pPr>
      <w:bookmarkStart w:id="51" w:name="_Toc49417888"/>
      <w:r>
        <w:t>The problem</w:t>
      </w:r>
      <w:bookmarkEnd w:id="51"/>
    </w:p>
    <w:p w14:paraId="4AE312BA" w14:textId="6D0752B5" w:rsidR="00902F7E" w:rsidRDefault="00902F7E" w:rsidP="00CE427B">
      <w:pPr>
        <w:spacing w:line="276" w:lineRule="auto"/>
      </w:pPr>
      <w:r w:rsidRPr="00FD27D6">
        <w:t xml:space="preserve">People with </w:t>
      </w:r>
      <w:r>
        <w:t>intellectual disability</w:t>
      </w:r>
      <w:r w:rsidRPr="00FD27D6">
        <w:t xml:space="preserve"> generally have low social capital with limited social networks (Potts</w:t>
      </w:r>
      <w:r w:rsidR="00625429">
        <w:t>,</w:t>
      </w:r>
      <w:r w:rsidRPr="00FD27D6">
        <w:t xml:space="preserve"> 2005). P</w:t>
      </w:r>
      <w:r w:rsidRPr="00CC24EB">
        <w:t xml:space="preserve">eople with </w:t>
      </w:r>
      <w:r>
        <w:t>intellectual disability</w:t>
      </w:r>
      <w:r w:rsidRPr="00CC24EB">
        <w:t xml:space="preserve"> are less likely to be involved in community groups, and leisure activities (</w:t>
      </w:r>
      <w:proofErr w:type="spellStart"/>
      <w:r w:rsidRPr="00CC24EB">
        <w:t>Verdonschot</w:t>
      </w:r>
      <w:proofErr w:type="spellEnd"/>
      <w:r w:rsidRPr="00CC24EB">
        <w:t xml:space="preserve"> et al., 2009</w:t>
      </w:r>
      <w:r>
        <w:t xml:space="preserve">). </w:t>
      </w:r>
      <w:r w:rsidRPr="00CC24EB">
        <w:t>An Australian study (Wilson et al</w:t>
      </w:r>
      <w:r>
        <w:t>.</w:t>
      </w:r>
      <w:r w:rsidRPr="00CC24EB">
        <w:t xml:space="preserve">, </w:t>
      </w:r>
      <w:r>
        <w:t>2017</w:t>
      </w:r>
      <w:r w:rsidRPr="00CC24EB">
        <w:t>) noted that many people with intellectual disability remain socially isolated and require support to overcome barriers and access social opportunities. Often the networks and friendships that do exist are closely linked to family relationships, peers with similar disabilities and service providers (</w:t>
      </w:r>
      <w:r w:rsidRPr="00CC1430">
        <w:t>Wilson et al</w:t>
      </w:r>
      <w:r>
        <w:t>., 2017</w:t>
      </w:r>
      <w:r w:rsidRPr="00CC1430">
        <w:t xml:space="preserve">). </w:t>
      </w:r>
      <w:r>
        <w:t>This limited social capital reduces the resources available to people with intellectual disability to support their aspirations for employment.</w:t>
      </w:r>
    </w:p>
    <w:p w14:paraId="04523F4B" w14:textId="77777777" w:rsidR="00902F7E" w:rsidRDefault="00902F7E" w:rsidP="00CE427B">
      <w:pPr>
        <w:spacing w:line="276" w:lineRule="auto"/>
      </w:pPr>
      <w:r>
        <w:t xml:space="preserve">However, not only is their access to social capital limited, people with intellectual disability are typically surrounded by people who hold low expectations of them. Key supporters of young people with intellectual disability, including family members and teachers, hold low expectations about their capacity to undertake open employment and base their decisions on fear and concern for the person’s safety and wellbeing, and a desire to reduce risk (Carter et al., 2017; Winn &amp; Hay, 2009; Gilson et al., 2018). These low expectations often result in transition to non-vocational options (Hetherington et al., 2010; </w:t>
      </w:r>
      <w:proofErr w:type="spellStart"/>
      <w:r>
        <w:t>Redgrove</w:t>
      </w:r>
      <w:proofErr w:type="spellEnd"/>
      <w:r>
        <w:t xml:space="preserve"> et al., 2016).</w:t>
      </w:r>
      <w:r w:rsidRPr="00AD76CE">
        <w:t xml:space="preserve"> </w:t>
      </w:r>
    </w:p>
    <w:p w14:paraId="6252CBED" w14:textId="2C70AD66" w:rsidR="00902F7E" w:rsidRDefault="00902F7E" w:rsidP="00CE427B">
      <w:pPr>
        <w:pStyle w:val="Heading2"/>
        <w:spacing w:line="276" w:lineRule="auto"/>
      </w:pPr>
      <w:bookmarkStart w:id="52" w:name="_Toc49417889"/>
      <w:r>
        <w:lastRenderedPageBreak/>
        <w:t>What works as a solution</w:t>
      </w:r>
      <w:bookmarkEnd w:id="52"/>
      <w:r w:rsidR="00331929">
        <w:t>?</w:t>
      </w:r>
    </w:p>
    <w:p w14:paraId="1D663F55" w14:textId="30512380" w:rsidR="00902F7E" w:rsidRDefault="00902F7E" w:rsidP="00176ED1">
      <w:pPr>
        <w:spacing w:line="276" w:lineRule="auto"/>
      </w:pPr>
      <w:r>
        <w:t>A large body of research demonstrates that family expectations and support are predictors of employment for people with intellectual disability (Francis</w:t>
      </w:r>
      <w:r w:rsidR="003C56E1">
        <w:t xml:space="preserve"> et al.</w:t>
      </w:r>
      <w:r>
        <w:t>, 2013; Gilson et al., 2018; Nicholas et al., 2018)</w:t>
      </w:r>
      <w:r>
        <w:rPr>
          <w:rFonts w:cs="Calibri"/>
          <w:color w:val="000000"/>
        </w:rPr>
        <w:t xml:space="preserve">. </w:t>
      </w:r>
      <w:r>
        <w:t xml:space="preserve">In three international studies: </w:t>
      </w:r>
    </w:p>
    <w:p w14:paraId="7698597F" w14:textId="64B93CEB" w:rsidR="00902F7E" w:rsidRDefault="00902F7E" w:rsidP="00176ED1">
      <w:pPr>
        <w:spacing w:line="276" w:lineRule="auto"/>
        <w:ind w:left="360" w:right="360"/>
      </w:pPr>
      <w:r>
        <w:t xml:space="preserve">family expectations of the student with I/DD [intellectual and developmental disability] securing competitive employment upon completion of high school were significantly associated with post-secondary competitive employment (Southward &amp; </w:t>
      </w:r>
      <w:proofErr w:type="spellStart"/>
      <w:r>
        <w:t>Kyzar</w:t>
      </w:r>
      <w:proofErr w:type="spellEnd"/>
      <w:r>
        <w:t>, 2017, p.</w:t>
      </w:r>
      <w:r w:rsidR="00EC1117">
        <w:t xml:space="preserve"> </w:t>
      </w:r>
      <w:r>
        <w:t>30)</w:t>
      </w:r>
      <w:r w:rsidR="000439FE">
        <w:t>.</w:t>
      </w:r>
    </w:p>
    <w:p w14:paraId="4DAE5120" w14:textId="6A085A95" w:rsidR="00902F7E" w:rsidRPr="00902F7E" w:rsidRDefault="00902F7E" w:rsidP="00176ED1">
      <w:pPr>
        <w:spacing w:line="276" w:lineRule="auto"/>
        <w:rPr>
          <w:rFonts w:asciiTheme="minorHAnsi" w:hAnsiTheme="minorHAnsi" w:cstheme="minorHAnsi"/>
          <w:szCs w:val="21"/>
        </w:rPr>
      </w:pPr>
      <w:r>
        <w:t xml:space="preserve">Just as the network of people around a young person with disability can narrow and close off options by </w:t>
      </w:r>
      <w:r w:rsidRPr="00902F7E">
        <w:rPr>
          <w:rFonts w:asciiTheme="minorHAnsi" w:hAnsiTheme="minorHAnsi" w:cstheme="minorHAnsi"/>
          <w:szCs w:val="21"/>
        </w:rPr>
        <w:t>holding low expectations, the expectations that families, educators and others hold can have a direct impact on the employment outcomes of young people with intellectual disability (Carter et al.</w:t>
      </w:r>
      <w:r w:rsidR="00CC640A">
        <w:rPr>
          <w:rFonts w:asciiTheme="minorHAnsi" w:hAnsiTheme="minorHAnsi" w:cstheme="minorHAnsi"/>
          <w:szCs w:val="21"/>
        </w:rPr>
        <w:t>,</w:t>
      </w:r>
      <w:r w:rsidRPr="00902F7E">
        <w:rPr>
          <w:rFonts w:asciiTheme="minorHAnsi" w:hAnsiTheme="minorHAnsi" w:cstheme="minorHAnsi"/>
          <w:szCs w:val="21"/>
        </w:rPr>
        <w:t xml:space="preserve"> 2017; </w:t>
      </w:r>
      <w:proofErr w:type="spellStart"/>
      <w:r w:rsidRPr="00902F7E">
        <w:rPr>
          <w:rFonts w:asciiTheme="minorHAnsi" w:hAnsiTheme="minorHAnsi" w:cstheme="minorHAnsi"/>
          <w:szCs w:val="21"/>
        </w:rPr>
        <w:t>Midjo</w:t>
      </w:r>
      <w:proofErr w:type="spellEnd"/>
      <w:r w:rsidRPr="00902F7E">
        <w:rPr>
          <w:rFonts w:asciiTheme="minorHAnsi" w:hAnsiTheme="minorHAnsi" w:cstheme="minorHAnsi"/>
          <w:szCs w:val="21"/>
        </w:rPr>
        <w:t xml:space="preserve"> &amp; Aune, 2018). Families can also act to foster higher expectations, broaden horizons and connect into employment and other opportunities. </w:t>
      </w:r>
    </w:p>
    <w:p w14:paraId="2EB8A501" w14:textId="7A3BD722" w:rsidR="00902F7E" w:rsidRPr="00902F7E" w:rsidRDefault="00902F7E" w:rsidP="00176ED1">
      <w:pPr>
        <w:pStyle w:val="Default"/>
        <w:spacing w:before="120" w:line="276" w:lineRule="auto"/>
        <w:ind w:left="360" w:right="270"/>
        <w:rPr>
          <w:rFonts w:asciiTheme="minorHAnsi" w:hAnsiTheme="minorHAnsi" w:cstheme="minorHAnsi"/>
          <w:sz w:val="21"/>
          <w:szCs w:val="21"/>
        </w:rPr>
      </w:pPr>
      <w:r w:rsidRPr="00902F7E">
        <w:rPr>
          <w:rFonts w:asciiTheme="minorHAnsi" w:hAnsiTheme="minorHAnsi" w:cstheme="minorHAnsi"/>
          <w:sz w:val="21"/>
          <w:szCs w:val="21"/>
        </w:rPr>
        <w:t xml:space="preserve">Family members offer career-related advice, help the student find jobs, shape aspirations, and can offer practical and moral support to maintain employment (Southward &amp; </w:t>
      </w:r>
      <w:proofErr w:type="spellStart"/>
      <w:r w:rsidRPr="00902F7E">
        <w:rPr>
          <w:rFonts w:asciiTheme="minorHAnsi" w:hAnsiTheme="minorHAnsi" w:cstheme="minorHAnsi"/>
          <w:sz w:val="21"/>
          <w:szCs w:val="21"/>
        </w:rPr>
        <w:t>Kyzar</w:t>
      </w:r>
      <w:proofErr w:type="spellEnd"/>
      <w:r w:rsidRPr="00902F7E">
        <w:rPr>
          <w:rFonts w:asciiTheme="minorHAnsi" w:hAnsiTheme="minorHAnsi" w:cstheme="minorHAnsi"/>
          <w:sz w:val="21"/>
          <w:szCs w:val="21"/>
        </w:rPr>
        <w:t>, 2017, p.</w:t>
      </w:r>
      <w:r w:rsidR="00EC1117">
        <w:rPr>
          <w:rFonts w:asciiTheme="minorHAnsi" w:hAnsiTheme="minorHAnsi" w:cstheme="minorHAnsi"/>
          <w:sz w:val="21"/>
          <w:szCs w:val="21"/>
        </w:rPr>
        <w:t xml:space="preserve"> </w:t>
      </w:r>
      <w:r w:rsidRPr="00902F7E">
        <w:rPr>
          <w:rFonts w:asciiTheme="minorHAnsi" w:hAnsiTheme="minorHAnsi" w:cstheme="minorHAnsi"/>
          <w:sz w:val="21"/>
          <w:szCs w:val="21"/>
        </w:rPr>
        <w:t>34)</w:t>
      </w:r>
      <w:r w:rsidR="000439FE">
        <w:rPr>
          <w:rFonts w:asciiTheme="minorHAnsi" w:hAnsiTheme="minorHAnsi" w:cstheme="minorHAnsi"/>
          <w:sz w:val="21"/>
          <w:szCs w:val="21"/>
        </w:rPr>
        <w:t>.</w:t>
      </w:r>
    </w:p>
    <w:p w14:paraId="7C9EF53F" w14:textId="77777777" w:rsidR="00902F7E" w:rsidRDefault="00902F7E" w:rsidP="00176ED1">
      <w:pPr>
        <w:spacing w:line="276" w:lineRule="auto"/>
        <w:rPr>
          <w:rFonts w:cs="Calibri"/>
          <w:color w:val="000000"/>
        </w:rPr>
      </w:pPr>
      <w:r>
        <w:rPr>
          <w:rFonts w:cs="Calibri"/>
          <w:color w:val="000000"/>
        </w:rPr>
        <w:t>Social capital (that is the personal and professional networks) of those in the life of a person with disability seeking employment, is a critical component of success in fostering employment. In an Australian study of people with intellectual disability, participants frequently reported that they found their current employment:</w:t>
      </w:r>
    </w:p>
    <w:p w14:paraId="79E1C8E0" w14:textId="3162F018" w:rsidR="00902F7E" w:rsidRPr="00950696" w:rsidRDefault="00902F7E" w:rsidP="00176ED1">
      <w:pPr>
        <w:spacing w:line="276" w:lineRule="auto"/>
        <w:ind w:left="272"/>
        <w:rPr>
          <w:rFonts w:cs="Arial"/>
        </w:rPr>
      </w:pPr>
      <w:r w:rsidRPr="00006378">
        <w:rPr>
          <w:rFonts w:cs="Arial"/>
        </w:rPr>
        <w:t>via a personal connection through family and friends. In supported employment in ADEs, people generally spoke about their family or friends finding the job for them or recommending it to them. In open employment people were more likely to comment on family or friends passing on an advertisement; making a potential connection with an employer, which they then followed up themselves; or helping them to write job applications</w:t>
      </w:r>
      <w:r w:rsidR="00A017EB">
        <w:rPr>
          <w:rFonts w:cs="Arial"/>
        </w:rPr>
        <w:t xml:space="preserve"> </w:t>
      </w:r>
      <w:r w:rsidRPr="00006378">
        <w:rPr>
          <w:rFonts w:cs="Arial"/>
        </w:rPr>
        <w:t xml:space="preserve">… Other people who helped in the search for work included teachers, career advisors, and people working in the management of ADEs </w:t>
      </w:r>
      <w:r>
        <w:rPr>
          <w:rFonts w:cs="Arial"/>
        </w:rPr>
        <w:t>(</w:t>
      </w:r>
      <w:r w:rsidRPr="00006378">
        <w:rPr>
          <w:rFonts w:cs="Arial"/>
        </w:rPr>
        <w:t>Meltzer</w:t>
      </w:r>
      <w:r>
        <w:rPr>
          <w:rFonts w:cs="Arial"/>
        </w:rPr>
        <w:t xml:space="preserve"> et al.</w:t>
      </w:r>
      <w:r w:rsidR="00463606">
        <w:rPr>
          <w:rFonts w:cs="Arial"/>
        </w:rPr>
        <w:t>,</w:t>
      </w:r>
      <w:r>
        <w:rPr>
          <w:rFonts w:cs="Arial"/>
        </w:rPr>
        <w:t xml:space="preserve"> 2016, p</w:t>
      </w:r>
      <w:r w:rsidR="00463606">
        <w:rPr>
          <w:rFonts w:cs="Arial"/>
        </w:rPr>
        <w:t>p</w:t>
      </w:r>
      <w:r>
        <w:rPr>
          <w:rFonts w:cs="Arial"/>
        </w:rPr>
        <w:t>.</w:t>
      </w:r>
      <w:r w:rsidR="00463606">
        <w:rPr>
          <w:rFonts w:cs="Arial"/>
        </w:rPr>
        <w:t xml:space="preserve"> </w:t>
      </w:r>
      <w:r>
        <w:rPr>
          <w:rFonts w:cs="Arial"/>
        </w:rPr>
        <w:t>19-20)</w:t>
      </w:r>
      <w:r w:rsidR="000439FE">
        <w:rPr>
          <w:rFonts w:cs="Arial"/>
        </w:rPr>
        <w:t>.</w:t>
      </w:r>
    </w:p>
    <w:p w14:paraId="61AD7CA3" w14:textId="1E701AAB" w:rsidR="00902F7E" w:rsidRPr="00902F7E" w:rsidRDefault="00902F7E" w:rsidP="00176ED1">
      <w:pPr>
        <w:pStyle w:val="Default"/>
        <w:spacing w:before="120" w:line="276" w:lineRule="auto"/>
        <w:rPr>
          <w:rFonts w:asciiTheme="minorHAnsi" w:hAnsiTheme="minorHAnsi" w:cstheme="minorHAnsi"/>
          <w:sz w:val="21"/>
          <w:szCs w:val="21"/>
        </w:rPr>
      </w:pPr>
      <w:r w:rsidRPr="00902F7E">
        <w:rPr>
          <w:rFonts w:asciiTheme="minorHAnsi" w:hAnsiTheme="minorHAnsi" w:cstheme="minorHAnsi"/>
          <w:sz w:val="21"/>
          <w:szCs w:val="21"/>
        </w:rPr>
        <w:t xml:space="preserve">Supports to employment, such as </w:t>
      </w:r>
      <w:proofErr w:type="spellStart"/>
      <w:r w:rsidRPr="00902F7E">
        <w:rPr>
          <w:rFonts w:asciiTheme="minorHAnsi" w:hAnsiTheme="minorHAnsi" w:cstheme="minorHAnsi"/>
          <w:sz w:val="21"/>
          <w:szCs w:val="21"/>
        </w:rPr>
        <w:t>customi</w:t>
      </w:r>
      <w:r w:rsidR="002B6DA9">
        <w:rPr>
          <w:rFonts w:asciiTheme="minorHAnsi" w:hAnsiTheme="minorHAnsi" w:cstheme="minorHAnsi"/>
          <w:sz w:val="21"/>
          <w:szCs w:val="21"/>
        </w:rPr>
        <w:t>s</w:t>
      </w:r>
      <w:r w:rsidRPr="00902F7E">
        <w:rPr>
          <w:rFonts w:asciiTheme="minorHAnsi" w:hAnsiTheme="minorHAnsi" w:cstheme="minorHAnsi"/>
          <w:sz w:val="21"/>
          <w:szCs w:val="21"/>
        </w:rPr>
        <w:t>ed</w:t>
      </w:r>
      <w:proofErr w:type="spellEnd"/>
      <w:r w:rsidRPr="00902F7E">
        <w:rPr>
          <w:rFonts w:asciiTheme="minorHAnsi" w:hAnsiTheme="minorHAnsi" w:cstheme="minorHAnsi"/>
          <w:sz w:val="21"/>
          <w:szCs w:val="21"/>
        </w:rPr>
        <w:t xml:space="preserve"> employment, rely heavily on the social capital around the job seeker with disability. In the </w:t>
      </w:r>
      <w:proofErr w:type="spellStart"/>
      <w:r w:rsidRPr="00902F7E">
        <w:rPr>
          <w:rFonts w:asciiTheme="minorHAnsi" w:hAnsiTheme="minorHAnsi" w:cstheme="minorHAnsi"/>
          <w:sz w:val="21"/>
          <w:szCs w:val="21"/>
        </w:rPr>
        <w:t>customi</w:t>
      </w:r>
      <w:r w:rsidR="002B6DA9">
        <w:rPr>
          <w:rFonts w:asciiTheme="minorHAnsi" w:hAnsiTheme="minorHAnsi" w:cstheme="minorHAnsi"/>
          <w:sz w:val="21"/>
          <w:szCs w:val="21"/>
        </w:rPr>
        <w:t>s</w:t>
      </w:r>
      <w:r w:rsidRPr="00902F7E">
        <w:rPr>
          <w:rFonts w:asciiTheme="minorHAnsi" w:hAnsiTheme="minorHAnsi" w:cstheme="minorHAnsi"/>
          <w:sz w:val="21"/>
          <w:szCs w:val="21"/>
        </w:rPr>
        <w:t>ed</w:t>
      </w:r>
      <w:proofErr w:type="spellEnd"/>
      <w:r w:rsidRPr="00902F7E">
        <w:rPr>
          <w:rFonts w:asciiTheme="minorHAnsi" w:hAnsiTheme="minorHAnsi" w:cstheme="minorHAnsi"/>
          <w:sz w:val="21"/>
          <w:szCs w:val="21"/>
        </w:rPr>
        <w:t xml:space="preserve"> employment approach, the social capital of family and friends, along with that of paid supporters, is critical. In one US study, </w:t>
      </w:r>
    </w:p>
    <w:p w14:paraId="579373F2" w14:textId="3BA191B3" w:rsidR="00902F7E" w:rsidRPr="00D72F48" w:rsidRDefault="00902F7E" w:rsidP="00176ED1">
      <w:pPr>
        <w:spacing w:line="276" w:lineRule="auto"/>
        <w:ind w:left="270" w:right="360"/>
      </w:pPr>
      <w:r>
        <w:t>One example of social capital described was a mother who networked where she had been employed to create an opportunity for her son to have a work experience in the business. Another example of social capital was networking with a computer technician who [was willing to visit the individual with disability at home and] provided feedback on the job seeker’s skills for taking apart computers (Inge et al.</w:t>
      </w:r>
      <w:r w:rsidR="00F70013">
        <w:t>,</w:t>
      </w:r>
      <w:r>
        <w:t xml:space="preserve"> 2018, p.</w:t>
      </w:r>
      <w:r w:rsidR="00F70013">
        <w:t xml:space="preserve"> </w:t>
      </w:r>
      <w:r>
        <w:t>164)</w:t>
      </w:r>
      <w:r w:rsidR="000439FE">
        <w:t>.</w:t>
      </w:r>
    </w:p>
    <w:p w14:paraId="0B73B282" w14:textId="7D8091BB" w:rsidR="00902F7E" w:rsidRPr="00902F7E" w:rsidRDefault="00902F7E" w:rsidP="00CE427B">
      <w:pPr>
        <w:pStyle w:val="Heading2"/>
        <w:spacing w:after="120" w:line="360" w:lineRule="auto"/>
      </w:pPr>
      <w:bookmarkStart w:id="53" w:name="_Toc49417890"/>
      <w:r>
        <w:t>Ingredients of success</w:t>
      </w:r>
      <w:bookmarkEnd w:id="53"/>
    </w:p>
    <w:p w14:paraId="3503AEDE" w14:textId="29E0DBFB" w:rsidR="00902F7E" w:rsidRPr="00902F7E" w:rsidRDefault="00902F7E" w:rsidP="00695832">
      <w:pPr>
        <w:pStyle w:val="Default"/>
        <w:numPr>
          <w:ilvl w:val="0"/>
          <w:numId w:val="14"/>
        </w:numPr>
        <w:spacing w:after="120" w:line="276" w:lineRule="auto"/>
        <w:ind w:left="714" w:hanging="357"/>
        <w:rPr>
          <w:rFonts w:asciiTheme="minorHAnsi" w:hAnsiTheme="minorHAnsi" w:cstheme="minorHAnsi"/>
          <w:sz w:val="21"/>
          <w:szCs w:val="21"/>
        </w:rPr>
      </w:pPr>
      <w:r w:rsidRPr="00902F7E">
        <w:rPr>
          <w:rFonts w:asciiTheme="minorHAnsi" w:hAnsiTheme="minorHAnsi" w:cstheme="minorHAnsi"/>
          <w:b/>
          <w:bCs/>
          <w:sz w:val="21"/>
          <w:szCs w:val="21"/>
        </w:rPr>
        <w:t>High expectations of those around the young person with intellectual disability.</w:t>
      </w:r>
      <w:r w:rsidRPr="00902F7E">
        <w:rPr>
          <w:rFonts w:asciiTheme="minorHAnsi" w:hAnsiTheme="minorHAnsi" w:cstheme="minorHAnsi"/>
          <w:sz w:val="21"/>
          <w:szCs w:val="21"/>
        </w:rPr>
        <w:t xml:space="preserve"> Having parents and professionals holding high expectations for the future resulted in young adults developing a </w:t>
      </w:r>
      <w:r w:rsidR="00992B05">
        <w:rPr>
          <w:rFonts w:asciiTheme="minorHAnsi" w:hAnsiTheme="minorHAnsi" w:cstheme="minorHAnsi"/>
          <w:sz w:val="21"/>
          <w:szCs w:val="21"/>
        </w:rPr>
        <w:t>“</w:t>
      </w:r>
      <w:r w:rsidRPr="00902F7E">
        <w:rPr>
          <w:rFonts w:asciiTheme="minorHAnsi" w:hAnsiTheme="minorHAnsi" w:cstheme="minorHAnsi"/>
          <w:sz w:val="21"/>
          <w:szCs w:val="21"/>
        </w:rPr>
        <w:t>positive self-concept and motivation to develop and achieve goals</w:t>
      </w:r>
      <w:r w:rsidR="00992B05">
        <w:rPr>
          <w:rFonts w:asciiTheme="minorHAnsi" w:hAnsiTheme="minorHAnsi" w:cstheme="minorHAnsi"/>
          <w:sz w:val="21"/>
          <w:szCs w:val="21"/>
        </w:rPr>
        <w:t>”</w:t>
      </w:r>
      <w:r w:rsidRPr="00902F7E">
        <w:rPr>
          <w:rFonts w:asciiTheme="minorHAnsi" w:hAnsiTheme="minorHAnsi" w:cstheme="minorHAnsi"/>
          <w:sz w:val="21"/>
          <w:szCs w:val="21"/>
        </w:rPr>
        <w:t xml:space="preserve"> (Francis et al., 2018</w:t>
      </w:r>
      <w:r w:rsidR="003C56E1">
        <w:rPr>
          <w:rFonts w:asciiTheme="minorHAnsi" w:hAnsiTheme="minorHAnsi" w:cstheme="minorHAnsi"/>
          <w:sz w:val="21"/>
          <w:szCs w:val="21"/>
        </w:rPr>
        <w:t>,</w:t>
      </w:r>
      <w:r w:rsidRPr="00902F7E">
        <w:rPr>
          <w:rFonts w:asciiTheme="minorHAnsi" w:hAnsiTheme="minorHAnsi" w:cstheme="minorHAnsi"/>
          <w:sz w:val="21"/>
          <w:szCs w:val="21"/>
        </w:rPr>
        <w:t xml:space="preserve"> p.</w:t>
      </w:r>
      <w:r w:rsidR="003C56E1">
        <w:rPr>
          <w:rFonts w:asciiTheme="minorHAnsi" w:hAnsiTheme="minorHAnsi" w:cstheme="minorHAnsi"/>
          <w:sz w:val="21"/>
          <w:szCs w:val="21"/>
        </w:rPr>
        <w:t xml:space="preserve"> </w:t>
      </w:r>
      <w:r w:rsidRPr="00902F7E">
        <w:rPr>
          <w:rFonts w:asciiTheme="minorHAnsi" w:hAnsiTheme="minorHAnsi" w:cstheme="minorHAnsi"/>
          <w:sz w:val="21"/>
          <w:szCs w:val="21"/>
        </w:rPr>
        <w:t>286). A US study found that family expectation for paid work was the most significant unique predictor of paid work. Those whose family expressed an expectation for paid work were 3.58 times more likely to be working for pay after leaving school (Carter et al., 2012).</w:t>
      </w:r>
    </w:p>
    <w:p w14:paraId="695853E3" w14:textId="1419D09E" w:rsidR="00902F7E" w:rsidRPr="00902F7E" w:rsidRDefault="00902F7E" w:rsidP="00695832">
      <w:pPr>
        <w:pStyle w:val="Default"/>
        <w:numPr>
          <w:ilvl w:val="0"/>
          <w:numId w:val="14"/>
        </w:numPr>
        <w:spacing w:after="120" w:line="276" w:lineRule="auto"/>
        <w:ind w:left="714" w:hanging="357"/>
        <w:rPr>
          <w:rFonts w:asciiTheme="minorHAnsi" w:hAnsiTheme="minorHAnsi" w:cstheme="minorHAnsi"/>
          <w:sz w:val="21"/>
          <w:szCs w:val="21"/>
        </w:rPr>
      </w:pPr>
      <w:r w:rsidRPr="00902F7E">
        <w:rPr>
          <w:rFonts w:asciiTheme="minorHAnsi" w:hAnsiTheme="minorHAnsi" w:cstheme="minorHAnsi"/>
          <w:b/>
          <w:bCs/>
          <w:sz w:val="21"/>
          <w:szCs w:val="21"/>
        </w:rPr>
        <w:t>Role models.</w:t>
      </w:r>
      <w:r w:rsidRPr="00902F7E">
        <w:rPr>
          <w:rFonts w:asciiTheme="minorHAnsi" w:hAnsiTheme="minorHAnsi" w:cstheme="minorHAnsi"/>
          <w:sz w:val="21"/>
          <w:szCs w:val="21"/>
        </w:rPr>
        <w:t xml:space="preserve"> Young people with disability also report that seeing positive examples of others operating in the real world contributes to their own high expectations (Francis et al., 2018). Research confirms that having early role models of work, among family and others of people with intellectual disability, can have a strong influence on the young person’s vision of themselves in the future (Hall et al.</w:t>
      </w:r>
      <w:r w:rsidR="00727E66">
        <w:rPr>
          <w:rFonts w:asciiTheme="minorHAnsi" w:hAnsiTheme="minorHAnsi" w:cstheme="minorHAnsi"/>
          <w:sz w:val="21"/>
          <w:szCs w:val="21"/>
        </w:rPr>
        <w:t>,</w:t>
      </w:r>
      <w:r w:rsidRPr="00902F7E">
        <w:rPr>
          <w:rFonts w:asciiTheme="minorHAnsi" w:hAnsiTheme="minorHAnsi" w:cstheme="minorHAnsi"/>
          <w:sz w:val="21"/>
          <w:szCs w:val="21"/>
        </w:rPr>
        <w:t xml:space="preserve"> 2018).</w:t>
      </w:r>
    </w:p>
    <w:p w14:paraId="7C97121D" w14:textId="36F2BC0E" w:rsidR="00902F7E" w:rsidRPr="00902F7E" w:rsidRDefault="00902F7E" w:rsidP="00695832">
      <w:pPr>
        <w:pStyle w:val="ListParagraph"/>
        <w:numPr>
          <w:ilvl w:val="0"/>
          <w:numId w:val="14"/>
        </w:numPr>
        <w:spacing w:before="0" w:after="120" w:line="276" w:lineRule="auto"/>
        <w:ind w:left="714" w:hanging="357"/>
        <w:rPr>
          <w:rFonts w:asciiTheme="minorHAnsi" w:hAnsiTheme="minorHAnsi" w:cstheme="minorHAnsi"/>
          <w:color w:val="000000"/>
          <w:szCs w:val="21"/>
        </w:rPr>
      </w:pPr>
      <w:r w:rsidRPr="00902F7E">
        <w:rPr>
          <w:rFonts w:asciiTheme="minorHAnsi" w:hAnsiTheme="minorHAnsi" w:cstheme="minorHAnsi"/>
          <w:b/>
          <w:bCs/>
          <w:szCs w:val="21"/>
        </w:rPr>
        <w:t>Increasing social networks and using them to connect to the world</w:t>
      </w:r>
      <w:r w:rsidRPr="00902F7E">
        <w:rPr>
          <w:rFonts w:asciiTheme="minorHAnsi" w:hAnsiTheme="minorHAnsi" w:cstheme="minorHAnsi"/>
          <w:szCs w:val="21"/>
        </w:rPr>
        <w:t xml:space="preserve">. Strategies that promote social capital and development of relationships between people with disability and their community have been </w:t>
      </w:r>
      <w:r w:rsidRPr="00902F7E">
        <w:rPr>
          <w:rFonts w:asciiTheme="minorHAnsi" w:hAnsiTheme="minorHAnsi" w:cstheme="minorHAnsi"/>
          <w:szCs w:val="21"/>
        </w:rPr>
        <w:lastRenderedPageBreak/>
        <w:t>recommended in a range of research. Families, friends and associates are the connectors to these opportunities (</w:t>
      </w:r>
      <w:bookmarkStart w:id="54" w:name="_Hlk39086196"/>
      <w:r w:rsidRPr="00902F7E">
        <w:rPr>
          <w:rFonts w:asciiTheme="minorHAnsi" w:hAnsiTheme="minorHAnsi" w:cstheme="minorHAnsi"/>
          <w:szCs w:val="21"/>
        </w:rPr>
        <w:t>ARTD Consultants, 2019; Carter</w:t>
      </w:r>
      <w:r w:rsidR="00CC640A">
        <w:rPr>
          <w:rFonts w:asciiTheme="minorHAnsi" w:hAnsiTheme="minorHAnsi" w:cstheme="minorHAnsi"/>
          <w:szCs w:val="21"/>
        </w:rPr>
        <w:t xml:space="preserve"> et al.</w:t>
      </w:r>
      <w:r w:rsidRPr="00902F7E">
        <w:rPr>
          <w:rFonts w:asciiTheme="minorHAnsi" w:hAnsiTheme="minorHAnsi" w:cstheme="minorHAnsi"/>
          <w:szCs w:val="21"/>
        </w:rPr>
        <w:t>, 2017; Nicholas et al., 2018; Sheppard</w:t>
      </w:r>
      <w:r w:rsidR="00E43E11">
        <w:rPr>
          <w:rFonts w:asciiTheme="minorHAnsi" w:hAnsiTheme="minorHAnsi" w:cstheme="minorHAnsi"/>
          <w:szCs w:val="21"/>
        </w:rPr>
        <w:t xml:space="preserve"> et al.</w:t>
      </w:r>
      <w:r w:rsidRPr="00902F7E">
        <w:rPr>
          <w:rFonts w:asciiTheme="minorHAnsi" w:hAnsiTheme="minorHAnsi" w:cstheme="minorHAnsi"/>
          <w:szCs w:val="21"/>
        </w:rPr>
        <w:t>, 2017</w:t>
      </w:r>
      <w:bookmarkEnd w:id="54"/>
      <w:r w:rsidRPr="00902F7E">
        <w:rPr>
          <w:rFonts w:asciiTheme="minorHAnsi" w:hAnsiTheme="minorHAnsi" w:cstheme="minorHAnsi"/>
          <w:szCs w:val="21"/>
        </w:rPr>
        <w:t xml:space="preserve">). </w:t>
      </w:r>
      <w:r w:rsidRPr="00902F7E">
        <w:rPr>
          <w:rFonts w:asciiTheme="minorHAnsi" w:hAnsiTheme="minorHAnsi" w:cstheme="minorHAnsi"/>
          <w:color w:val="000000"/>
          <w:szCs w:val="21"/>
        </w:rPr>
        <w:t xml:space="preserve">Young people also build their own social capital through membership of sporting clubs, being involved in activities such as scouts and guides and through involvement in </w:t>
      </w:r>
      <w:proofErr w:type="gramStart"/>
      <w:r w:rsidRPr="00902F7E">
        <w:rPr>
          <w:rFonts w:asciiTheme="minorHAnsi" w:hAnsiTheme="minorHAnsi" w:cstheme="minorHAnsi"/>
          <w:color w:val="000000"/>
          <w:szCs w:val="21"/>
        </w:rPr>
        <w:t>community based</w:t>
      </w:r>
      <w:proofErr w:type="gramEnd"/>
      <w:r w:rsidRPr="00902F7E">
        <w:rPr>
          <w:rFonts w:asciiTheme="minorHAnsi" w:hAnsiTheme="minorHAnsi" w:cstheme="minorHAnsi"/>
          <w:color w:val="000000"/>
          <w:szCs w:val="21"/>
        </w:rPr>
        <w:t xml:space="preserve"> activities. (Crosbie et al. 2019; Potts, 2005). Past work and educational experience are rich sources of social networks by keeping in touch with previous employers, fellow workers, teachers and students. Volunteering can also be a way of building social networks as well as providing work experience, especially if it involves the field a person wishes to be employed in (Bellman et al., 2014; </w:t>
      </w:r>
      <w:proofErr w:type="spellStart"/>
      <w:r w:rsidRPr="00902F7E">
        <w:rPr>
          <w:rFonts w:asciiTheme="minorHAnsi" w:hAnsiTheme="minorHAnsi" w:cstheme="minorHAnsi"/>
          <w:color w:val="000000"/>
          <w:szCs w:val="21"/>
        </w:rPr>
        <w:t>Skellern</w:t>
      </w:r>
      <w:proofErr w:type="spellEnd"/>
      <w:r w:rsidRPr="00902F7E">
        <w:rPr>
          <w:rFonts w:asciiTheme="minorHAnsi" w:hAnsiTheme="minorHAnsi" w:cstheme="minorHAnsi"/>
          <w:color w:val="000000"/>
          <w:szCs w:val="21"/>
        </w:rPr>
        <w:t xml:space="preserve"> &amp; Astbury, 2014; Potts, 2005).</w:t>
      </w:r>
    </w:p>
    <w:p w14:paraId="4A9EDCE5" w14:textId="77777777" w:rsidR="00902F7E" w:rsidRPr="00902F7E" w:rsidRDefault="00902F7E" w:rsidP="00CE427B">
      <w:pPr>
        <w:spacing w:line="276" w:lineRule="auto"/>
        <w:rPr>
          <w:rFonts w:asciiTheme="minorHAnsi" w:hAnsiTheme="minorHAnsi" w:cstheme="minorHAnsi"/>
          <w:color w:val="000000"/>
          <w:szCs w:val="21"/>
        </w:rPr>
      </w:pPr>
    </w:p>
    <w:p w14:paraId="31C5FF66" w14:textId="77777777" w:rsidR="00777088" w:rsidRDefault="00777088" w:rsidP="00CE427B">
      <w:pPr>
        <w:autoSpaceDE w:val="0"/>
        <w:autoSpaceDN w:val="0"/>
        <w:adjustRightInd w:val="0"/>
        <w:spacing w:line="276" w:lineRule="auto"/>
        <w:rPr>
          <w:rFonts w:cs="Times-Roman"/>
        </w:rPr>
        <w:sectPr w:rsidR="00777088" w:rsidSect="008926C2">
          <w:pgSz w:w="11909" w:h="16834" w:code="9"/>
          <w:pgMar w:top="964" w:right="964" w:bottom="964" w:left="964" w:header="432" w:footer="720" w:gutter="0"/>
          <w:cols w:space="720"/>
          <w:docGrid w:linePitch="360"/>
        </w:sectPr>
      </w:pPr>
    </w:p>
    <w:p w14:paraId="5C444FF6" w14:textId="07DDEB03" w:rsidR="00C73890" w:rsidRDefault="00C73890" w:rsidP="00CE427B">
      <w:pPr>
        <w:pStyle w:val="Heading1"/>
        <w:pBdr>
          <w:bottom w:val="single" w:sz="4" w:space="1" w:color="auto"/>
        </w:pBdr>
        <w:spacing w:line="276" w:lineRule="auto"/>
      </w:pPr>
      <w:bookmarkStart w:id="55" w:name="_Toc49462461"/>
      <w:r>
        <w:lastRenderedPageBreak/>
        <w:t>Evidence piece 4:</w:t>
      </w:r>
      <w:bookmarkEnd w:id="55"/>
    </w:p>
    <w:p w14:paraId="23E3E80E" w14:textId="604E764C" w:rsidR="00777088" w:rsidRDefault="00777088" w:rsidP="00CE427B">
      <w:pPr>
        <w:pStyle w:val="Heading1"/>
        <w:pBdr>
          <w:bottom w:val="single" w:sz="4" w:space="1" w:color="auto"/>
        </w:pBdr>
        <w:spacing w:line="276" w:lineRule="auto"/>
      </w:pPr>
      <w:bookmarkStart w:id="56" w:name="_Toc49462462"/>
      <w:r>
        <w:t>Effects of mainstream vs special schooling on employment outcomes for people with intellectual disability</w:t>
      </w:r>
      <w:bookmarkEnd w:id="56"/>
    </w:p>
    <w:p w14:paraId="794A23C5" w14:textId="77777777" w:rsidR="00777088" w:rsidRDefault="00777088" w:rsidP="00CE427B">
      <w:pPr>
        <w:snapToGrid w:val="0"/>
        <w:spacing w:after="120" w:line="276" w:lineRule="auto"/>
      </w:pPr>
    </w:p>
    <w:p w14:paraId="2C4B2FBC" w14:textId="77777777" w:rsidR="00777088" w:rsidRPr="00F450A5" w:rsidRDefault="00777088" w:rsidP="00CE427B">
      <w:pPr>
        <w:pStyle w:val="Heading2"/>
      </w:pPr>
      <w:bookmarkStart w:id="57" w:name="_Toc49417893"/>
      <w:r w:rsidRPr="00F450A5">
        <w:t>What is meant by mainstream schooling and special schooling?</w:t>
      </w:r>
      <w:bookmarkEnd w:id="57"/>
      <w:r w:rsidRPr="00F450A5">
        <w:t xml:space="preserve"> </w:t>
      </w:r>
    </w:p>
    <w:p w14:paraId="5B72F9D1" w14:textId="77777777" w:rsidR="00777088" w:rsidRDefault="00777088" w:rsidP="009B7625">
      <w:pPr>
        <w:snapToGrid w:val="0"/>
        <w:spacing w:line="276" w:lineRule="auto"/>
      </w:pPr>
      <w:r>
        <w:t>In Australia, students with disability can attend either mainstream or special schools.</w:t>
      </w:r>
    </w:p>
    <w:p w14:paraId="7DE63A0E" w14:textId="436D664B" w:rsidR="00777088" w:rsidRPr="00950696" w:rsidRDefault="00777088" w:rsidP="009B7625">
      <w:pPr>
        <w:pStyle w:val="ListBullet"/>
        <w:numPr>
          <w:ilvl w:val="0"/>
          <w:numId w:val="0"/>
        </w:numPr>
        <w:spacing w:line="276" w:lineRule="auto"/>
        <w:ind w:left="2520" w:hanging="2520"/>
        <w:jc w:val="left"/>
        <w:rPr>
          <w:rFonts w:asciiTheme="minorHAnsi" w:hAnsiTheme="minorHAnsi" w:cstheme="minorHAnsi"/>
          <w:sz w:val="21"/>
          <w:szCs w:val="21"/>
        </w:rPr>
      </w:pPr>
      <w:r w:rsidRPr="00950696">
        <w:rPr>
          <w:rFonts w:asciiTheme="minorHAnsi" w:hAnsiTheme="minorHAnsi" w:cstheme="minorHAnsi"/>
          <w:sz w:val="21"/>
          <w:szCs w:val="21"/>
        </w:rPr>
        <w:t xml:space="preserve">A special school </w:t>
      </w:r>
      <w:r w:rsidRPr="00950696">
        <w:rPr>
          <w:rFonts w:asciiTheme="minorHAnsi" w:hAnsiTheme="minorHAnsi" w:cstheme="minorHAnsi"/>
          <w:sz w:val="21"/>
          <w:szCs w:val="21"/>
        </w:rPr>
        <w:tab/>
        <w:t xml:space="preserve">is one that enrols only students with special needs. </w:t>
      </w:r>
      <w:r w:rsidRPr="00950696">
        <w:rPr>
          <w:rFonts w:asciiTheme="minorHAnsi" w:hAnsiTheme="minorHAnsi" w:cstheme="minorHAnsi"/>
          <w:i/>
          <w:sz w:val="21"/>
          <w:szCs w:val="21"/>
        </w:rPr>
        <w:t>Special schools</w:t>
      </w:r>
      <w:r w:rsidRPr="00950696">
        <w:rPr>
          <w:rFonts w:asciiTheme="minorHAnsi" w:hAnsiTheme="minorHAnsi" w:cstheme="minorHAnsi"/>
          <w:sz w:val="21"/>
          <w:szCs w:val="21"/>
        </w:rPr>
        <w:t xml:space="preserve"> provide education for students that exhibit one or more of the following characteristics before enrolment: mental or physical disability or impairment; slow learning ability; social or emotional problems; or in custody, on remand or in hospital (ABS, 2019).</w:t>
      </w:r>
    </w:p>
    <w:p w14:paraId="044E1C88" w14:textId="248EB0C1" w:rsidR="00777088" w:rsidRDefault="00777088" w:rsidP="009B7625">
      <w:pPr>
        <w:tabs>
          <w:tab w:val="left" w:pos="2520"/>
        </w:tabs>
        <w:snapToGrid w:val="0"/>
        <w:spacing w:line="276" w:lineRule="auto"/>
        <w:ind w:left="2430" w:hanging="2430"/>
      </w:pPr>
      <w:r w:rsidRPr="00B14EB2">
        <w:t xml:space="preserve">A mainstream school </w:t>
      </w:r>
      <w:r w:rsidRPr="00B14EB2">
        <w:tab/>
        <w:t>is one that enrolls students with and without disability, including providing classes to specifically support students with special needs and/or providing additional assistance to students with special needs in regular classes (Australian Institute of Health and Welfare</w:t>
      </w:r>
      <w:r>
        <w:t>,</w:t>
      </w:r>
      <w:r w:rsidRPr="00B14EB2">
        <w:t xml:space="preserve"> 2017</w:t>
      </w:r>
      <w:r w:rsidR="000439FE">
        <w:t>a</w:t>
      </w:r>
      <w:r w:rsidR="004B53CF">
        <w:t>)</w:t>
      </w:r>
      <w:r w:rsidRPr="00B14EB2">
        <w:t>.</w:t>
      </w:r>
    </w:p>
    <w:p w14:paraId="43A9412F" w14:textId="77777777" w:rsidR="00777088" w:rsidRPr="00F450A5" w:rsidRDefault="00777088" w:rsidP="00CE427B">
      <w:pPr>
        <w:pStyle w:val="Heading2"/>
      </w:pPr>
      <w:bookmarkStart w:id="58" w:name="_Toc49417894"/>
      <w:r>
        <w:t>Mainstream schooling and</w:t>
      </w:r>
      <w:r w:rsidRPr="00F450A5">
        <w:t xml:space="preserve"> special schooling – the impact on employment outcomes</w:t>
      </w:r>
      <w:bookmarkEnd w:id="58"/>
    </w:p>
    <w:p w14:paraId="4F366F41" w14:textId="77777777" w:rsidR="00777088" w:rsidRPr="00700890" w:rsidRDefault="00777088" w:rsidP="009B7625">
      <w:pPr>
        <w:pStyle w:val="Number1"/>
        <w:spacing w:before="120"/>
        <w:ind w:left="357" w:hanging="357"/>
      </w:pPr>
      <w:r>
        <w:t>The Value of Education</w:t>
      </w:r>
    </w:p>
    <w:p w14:paraId="7656FFE1" w14:textId="72A128C7" w:rsidR="00777088" w:rsidRDefault="00777088" w:rsidP="009B7625">
      <w:pPr>
        <w:snapToGrid w:val="0"/>
        <w:spacing w:line="276" w:lineRule="auto"/>
      </w:pPr>
      <w:r>
        <w:t>An effective education is vital for all young people – including those with disability - as an inadequate education</w:t>
      </w:r>
      <w:r w:rsidRPr="00EB4440">
        <w:t xml:space="preserve"> will</w:t>
      </w:r>
      <w:r>
        <w:t xml:space="preserve"> have consequences across the duration of a person’s life</w:t>
      </w:r>
      <w:r w:rsidRPr="00EB4440">
        <w:t xml:space="preserve">. </w:t>
      </w:r>
      <w:r w:rsidR="00171DC0">
        <w:t>“</w:t>
      </w:r>
      <w:r w:rsidRPr="00EB4440">
        <w:t>Under-education leads to unemployment, lower levels of health, social isolation and a lifetime of disadvantage</w:t>
      </w:r>
      <w:r w:rsidR="00171DC0">
        <w:t>”</w:t>
      </w:r>
      <w:r>
        <w:t xml:space="preserve"> (</w:t>
      </w:r>
      <w:r w:rsidRPr="006C2096">
        <w:t>Senate Standing Committee on Education and Employment</w:t>
      </w:r>
      <w:r>
        <w:t>,</w:t>
      </w:r>
      <w:r w:rsidRPr="006C2096">
        <w:t xml:space="preserve"> </w:t>
      </w:r>
      <w:r>
        <w:t>2016, p.</w:t>
      </w:r>
      <w:r w:rsidR="004933E2">
        <w:t xml:space="preserve"> </w:t>
      </w:r>
      <w:r>
        <w:t>4). Hence choice of schooling, and ongoing engagement with schooling, is vital to a person with intellectual disability and their life opportunities.</w:t>
      </w:r>
    </w:p>
    <w:p w14:paraId="02A350D4" w14:textId="77777777" w:rsidR="00777088" w:rsidRDefault="00777088" w:rsidP="009B7625">
      <w:pPr>
        <w:pStyle w:val="Number1"/>
        <w:spacing w:before="120"/>
      </w:pPr>
      <w:r>
        <w:t>Outcomes of mainstream vs special education</w:t>
      </w:r>
    </w:p>
    <w:p w14:paraId="4E6092AE" w14:textId="53C21470" w:rsidR="00777088" w:rsidRPr="007C4D9F" w:rsidRDefault="00777088" w:rsidP="009B7625">
      <w:pPr>
        <w:spacing w:line="276" w:lineRule="auto"/>
      </w:pPr>
      <w:r>
        <w:t>It is difficult to compare mainstream and special schools using the research evidence. The evidence suggests that outcomes of each will be significantly influenced by a range of factors at each site including the level of inclusion achieved, the level of resources available, as well as the expertise of the teaching staff (Casey et al.,</w:t>
      </w:r>
      <w:r w:rsidRPr="00902BDF">
        <w:t xml:space="preserve"> 200</w:t>
      </w:r>
      <w:r w:rsidR="001E4312">
        <w:t>6</w:t>
      </w:r>
      <w:r>
        <w:t>). While the outcomes of mainstream compared special schools for people with intellectual disability remain in doubt, there is research to suggest that the aspirations of young people with intellectual disability for employment are the same regardless of setting (Casey et al.,</w:t>
      </w:r>
      <w:r w:rsidRPr="00902BDF">
        <w:t xml:space="preserve"> 200</w:t>
      </w:r>
      <w:r w:rsidR="001E4312">
        <w:t>6</w:t>
      </w:r>
      <w:r>
        <w:t>).</w:t>
      </w:r>
    </w:p>
    <w:p w14:paraId="69E809DB" w14:textId="77777777" w:rsidR="00777088" w:rsidRPr="00C73890" w:rsidRDefault="00777088" w:rsidP="009B7625">
      <w:pPr>
        <w:pStyle w:val="Number2"/>
        <w:spacing w:before="120"/>
        <w:ind w:left="284" w:hanging="284"/>
      </w:pPr>
      <w:r w:rsidRPr="00C73890">
        <w:t>Outcomes of mainstream schools</w:t>
      </w:r>
    </w:p>
    <w:p w14:paraId="05CF15F1" w14:textId="77777777" w:rsidR="00777088" w:rsidRDefault="00777088" w:rsidP="009B7625">
      <w:pPr>
        <w:snapToGrid w:val="0"/>
        <w:spacing w:line="276" w:lineRule="auto"/>
      </w:pPr>
      <w:r>
        <w:t>For children with intellectual disability, the opportunity to participate in mainstream schooling alongside their peers without disability is a human right. The Victorian Equal Opportunity and Human Rights Commission (2012) argues that:</w:t>
      </w:r>
    </w:p>
    <w:p w14:paraId="748969EE" w14:textId="5515A870" w:rsidR="00777088" w:rsidRDefault="00777088" w:rsidP="009B7625">
      <w:pPr>
        <w:snapToGrid w:val="0"/>
        <w:spacing w:line="276" w:lineRule="auto"/>
        <w:ind w:left="284" w:right="288"/>
      </w:pPr>
      <w:r w:rsidRPr="00D32F6B">
        <w:t xml:space="preserve">There are profound consequences when students with disabilities are unable to participate in education on the same basis as students without disability – for the child, the family, the school and for the community. A person’s life chances, employment options, future earnings and value in society are largely determined by their education. Failing to ensure the participation of students with disabilities in education, and to </w:t>
      </w:r>
      <w:proofErr w:type="spellStart"/>
      <w:r w:rsidRPr="00D32F6B">
        <w:t>maximise</w:t>
      </w:r>
      <w:proofErr w:type="spellEnd"/>
      <w:r w:rsidRPr="00D32F6B">
        <w:t xml:space="preserve"> their learning outcomes, is not only discriminatory and unfair, it is also life-changing</w:t>
      </w:r>
      <w:r>
        <w:t xml:space="preserve"> (p.</w:t>
      </w:r>
      <w:r w:rsidR="00025459">
        <w:t xml:space="preserve"> </w:t>
      </w:r>
      <w:r>
        <w:t>48)</w:t>
      </w:r>
      <w:r w:rsidR="00B00DBE">
        <w:t>.</w:t>
      </w:r>
    </w:p>
    <w:p w14:paraId="56B1D62E" w14:textId="0A57C1C2" w:rsidR="00777088" w:rsidRDefault="00777088" w:rsidP="009B7625">
      <w:pPr>
        <w:spacing w:line="276" w:lineRule="auto"/>
      </w:pPr>
      <w:r w:rsidRPr="007C4D9F">
        <w:t xml:space="preserve">However, overall, the evidence as to whether mainstream schooling or special schooling leads to better employment outcomes is limited and it is difficult to find good data on this topic, especially in Australia. Internationally, a set of </w:t>
      </w:r>
      <w:r w:rsidRPr="007C4D9F">
        <w:lastRenderedPageBreak/>
        <w:t xml:space="preserve">older research concludes that </w:t>
      </w:r>
      <w:r w:rsidR="00B61481">
        <w:t>“</w:t>
      </w:r>
      <w:r w:rsidRPr="007C4D9F">
        <w:t>the small existing research</w:t>
      </w:r>
      <w:r>
        <w:t xml:space="preserve"> </w:t>
      </w:r>
      <w:r w:rsidRPr="007C4D9F">
        <w:t>base suggests that students with special educational needs achieve more,</w:t>
      </w:r>
      <w:r>
        <w:t xml:space="preserve"> </w:t>
      </w:r>
      <w:r w:rsidRPr="007C4D9F">
        <w:t>academically and socially, in a mainstream setting than in special schools</w:t>
      </w:r>
      <w:r w:rsidR="00B61481">
        <w:t>”</w:t>
      </w:r>
      <w:r w:rsidRPr="007C4D9F">
        <w:t xml:space="preserve"> (Casey</w:t>
      </w:r>
      <w:r>
        <w:t xml:space="preserve"> et al., </w:t>
      </w:r>
      <w:r w:rsidRPr="007C4D9F">
        <w:t>200</w:t>
      </w:r>
      <w:r w:rsidR="001E4312">
        <w:t>6</w:t>
      </w:r>
      <w:r>
        <w:t>, p.</w:t>
      </w:r>
      <w:r w:rsidR="00657DF9">
        <w:t xml:space="preserve"> </w:t>
      </w:r>
      <w:r w:rsidRPr="007C4D9F">
        <w:t>277)</w:t>
      </w:r>
      <w:r>
        <w:t xml:space="preserve">. </w:t>
      </w:r>
      <w:r w:rsidRPr="007C4D9F">
        <w:t>In</w:t>
      </w:r>
      <w:r>
        <w:t xml:space="preserve"> the UK, one large scale study conducted in 2002 found that participation in mainstream education:</w:t>
      </w:r>
    </w:p>
    <w:p w14:paraId="7F729353" w14:textId="77777777" w:rsidR="00777088" w:rsidRDefault="00777088" w:rsidP="009B7625">
      <w:pPr>
        <w:pStyle w:val="ListParagraph"/>
        <w:numPr>
          <w:ilvl w:val="0"/>
          <w:numId w:val="15"/>
        </w:numPr>
        <w:snapToGrid w:val="0"/>
        <w:spacing w:line="276" w:lineRule="auto"/>
      </w:pPr>
      <w:r>
        <w:t xml:space="preserve">increased aspirations for higher status employment </w:t>
      </w:r>
    </w:p>
    <w:p w14:paraId="698AD794" w14:textId="7A5C05C9" w:rsidR="00777088" w:rsidRDefault="00777088" w:rsidP="009B7625">
      <w:pPr>
        <w:pStyle w:val="ListParagraph"/>
        <w:numPr>
          <w:ilvl w:val="0"/>
          <w:numId w:val="15"/>
        </w:numPr>
        <w:snapToGrid w:val="0"/>
        <w:spacing w:line="276" w:lineRule="auto"/>
      </w:pPr>
      <w:r>
        <w:t xml:space="preserve">increased </w:t>
      </w:r>
      <w:r w:rsidRPr="00902BDF">
        <w:t>aspir</w:t>
      </w:r>
      <w:r>
        <w:t>ation</w:t>
      </w:r>
      <w:r w:rsidRPr="00902BDF">
        <w:t xml:space="preserve"> to a </w:t>
      </w:r>
      <w:proofErr w:type="gramStart"/>
      <w:r w:rsidRPr="00902BDF">
        <w:t>higher</w:t>
      </w:r>
      <w:r>
        <w:t xml:space="preserve"> </w:t>
      </w:r>
      <w:r w:rsidRPr="00902BDF">
        <w:t>level</w:t>
      </w:r>
      <w:proofErr w:type="gramEnd"/>
      <w:r w:rsidRPr="00902BDF">
        <w:t xml:space="preserve"> course and </w:t>
      </w:r>
      <w:r>
        <w:t>increased certainty about</w:t>
      </w:r>
      <w:r w:rsidRPr="00902BDF">
        <w:t xml:space="preserve"> </w:t>
      </w:r>
      <w:r>
        <w:t xml:space="preserve">choice of </w:t>
      </w:r>
      <w:r w:rsidR="00E93A2E">
        <w:t>post-secondary</w:t>
      </w:r>
      <w:r>
        <w:t xml:space="preserve"> course (Casey et al.,</w:t>
      </w:r>
      <w:r w:rsidRPr="00902BDF">
        <w:t xml:space="preserve"> 200</w:t>
      </w:r>
      <w:r w:rsidR="00280EE0">
        <w:t>6</w:t>
      </w:r>
      <w:r>
        <w:t>, p.</w:t>
      </w:r>
      <w:r w:rsidR="00657DF9">
        <w:t xml:space="preserve"> </w:t>
      </w:r>
      <w:r w:rsidRPr="00902BDF">
        <w:t>285)</w:t>
      </w:r>
      <w:r>
        <w:t>.</w:t>
      </w:r>
    </w:p>
    <w:p w14:paraId="0E7D2F7F" w14:textId="77777777" w:rsidR="00777088" w:rsidRDefault="00777088" w:rsidP="009B7625">
      <w:pPr>
        <w:snapToGrid w:val="0"/>
        <w:spacing w:line="276" w:lineRule="auto"/>
      </w:pPr>
      <w:r w:rsidRPr="00057A79">
        <w:t>One Australian study tracked outcomes of students with intellectual disability leaving secondary school in QLD and found that 53% of students of mainstream schools were in paid employment (18% were in ADEs), compared to 44% (8% in ADEs) of students exiting special education units, and 15% (14% in ADEs) of students from special schools (Davies &amp; Beamish, 2009). While samples were not matched, this suggests higher employment outcomes for students with intellectual disability from mainstream schools.</w:t>
      </w:r>
    </w:p>
    <w:p w14:paraId="7393CFBC" w14:textId="43838C4D" w:rsidR="00777088" w:rsidRDefault="00777088" w:rsidP="009B7625">
      <w:pPr>
        <w:spacing w:line="276" w:lineRule="auto"/>
      </w:pPr>
      <w:r>
        <w:t>Data exists that attests to a range of other outcomes associated with mainstream education for children with intellectual disability, and that these outcomes have been found to positively influence employment outcomes in the future (Casey et al.,</w:t>
      </w:r>
      <w:r w:rsidRPr="00902BDF">
        <w:t xml:space="preserve"> 200</w:t>
      </w:r>
      <w:r w:rsidR="00280EE0">
        <w:t>6</w:t>
      </w:r>
      <w:r>
        <w:t>). There is evidence to indicate that mainstream schooling, increases:</w:t>
      </w:r>
    </w:p>
    <w:p w14:paraId="62AEE394" w14:textId="45FB94F9" w:rsidR="00777088" w:rsidRDefault="00777088" w:rsidP="009B7625">
      <w:pPr>
        <w:pStyle w:val="ListParagraph"/>
        <w:numPr>
          <w:ilvl w:val="0"/>
          <w:numId w:val="15"/>
        </w:numPr>
        <w:spacing w:line="276" w:lineRule="auto"/>
      </w:pPr>
      <w:r>
        <w:t xml:space="preserve">acquisition of social competence skills (Freeman &amp; </w:t>
      </w:r>
      <w:proofErr w:type="spellStart"/>
      <w:r>
        <w:t>Alkin</w:t>
      </w:r>
      <w:proofErr w:type="spellEnd"/>
      <w:r>
        <w:t>, 2000, reviewing 36 articles; Casey et al.,</w:t>
      </w:r>
      <w:r w:rsidRPr="00902BDF">
        <w:t xml:space="preserve"> 200</w:t>
      </w:r>
      <w:r w:rsidR="00280EE0">
        <w:t>6</w:t>
      </w:r>
      <w:r>
        <w:t>):</w:t>
      </w:r>
      <w:r w:rsidR="003D0233">
        <w:t xml:space="preserve"> </w:t>
      </w:r>
      <w:r w:rsidR="00176D14">
        <w:t>“</w:t>
      </w:r>
      <w:r w:rsidRPr="00700890">
        <w:t>Through participation in general education classrooms, fully integrated children demonstrate better social behaviors such as adjustment, interactions, maturity, and general social competence as judged by others</w:t>
      </w:r>
      <w:r w:rsidR="00176D14">
        <w:t xml:space="preserve">” </w:t>
      </w:r>
      <w:r>
        <w:t>(</w:t>
      </w:r>
      <w:r w:rsidRPr="00084FF2">
        <w:t xml:space="preserve">Freeman &amp; </w:t>
      </w:r>
      <w:proofErr w:type="spellStart"/>
      <w:r w:rsidRPr="00084FF2">
        <w:t>Alkin</w:t>
      </w:r>
      <w:proofErr w:type="spellEnd"/>
      <w:r>
        <w:t>,</w:t>
      </w:r>
      <w:r w:rsidRPr="00084FF2">
        <w:t xml:space="preserve"> 2000</w:t>
      </w:r>
      <w:r>
        <w:t>, p.</w:t>
      </w:r>
      <w:r w:rsidR="004358AB">
        <w:t xml:space="preserve"> </w:t>
      </w:r>
      <w:r>
        <w:t>16</w:t>
      </w:r>
      <w:r w:rsidRPr="00700890">
        <w:t>)</w:t>
      </w:r>
      <w:r>
        <w:t>.</w:t>
      </w:r>
    </w:p>
    <w:p w14:paraId="6A5D7F94" w14:textId="0CA8339E" w:rsidR="00777088" w:rsidRDefault="00777088" w:rsidP="009B7625">
      <w:pPr>
        <w:pStyle w:val="ListParagraph"/>
        <w:numPr>
          <w:ilvl w:val="0"/>
          <w:numId w:val="15"/>
        </w:numPr>
        <w:spacing w:line="276" w:lineRule="auto"/>
      </w:pPr>
      <w:r>
        <w:t>academic language skills</w:t>
      </w:r>
      <w:r w:rsidRPr="005A5405">
        <w:t xml:space="preserve"> and reading skills (</w:t>
      </w:r>
      <w:proofErr w:type="spellStart"/>
      <w:r>
        <w:t>Dessemontet</w:t>
      </w:r>
      <w:proofErr w:type="spellEnd"/>
      <w:r w:rsidR="00182DEB">
        <w:t xml:space="preserve"> et al.</w:t>
      </w:r>
      <w:r>
        <w:t>, 2012</w:t>
      </w:r>
      <w:r w:rsidRPr="005A5405">
        <w:t>).</w:t>
      </w:r>
    </w:p>
    <w:p w14:paraId="1FF4304D" w14:textId="77777777" w:rsidR="00777088" w:rsidRDefault="00777088" w:rsidP="009B7625">
      <w:pPr>
        <w:snapToGrid w:val="0"/>
        <w:spacing w:line="276" w:lineRule="auto"/>
      </w:pPr>
      <w:r>
        <w:t>An Australian review of research found that children progress at least as well in inclusive education as in segregated settings, with a small (but possibly significant) academic benefit from inclusion (Jackson, 2008).</w:t>
      </w:r>
    </w:p>
    <w:p w14:paraId="75EDC426" w14:textId="59EFC59A" w:rsidR="00777088" w:rsidRDefault="00777088" w:rsidP="009B7625">
      <w:pPr>
        <w:snapToGrid w:val="0"/>
        <w:spacing w:line="276" w:lineRule="auto"/>
      </w:pPr>
      <w:r>
        <w:t>In addition, mainstream schools can offer the opportunity to develop an identity that is not predicated on disability. Placement in segregated settings, and low expectations, can limit opportunities for a person with intellectual disability to fully explore a sense of self and can reinforce the ‘disability identity’ (</w:t>
      </w:r>
      <w:proofErr w:type="spellStart"/>
      <w:r>
        <w:t>Midjo</w:t>
      </w:r>
      <w:proofErr w:type="spellEnd"/>
      <w:r>
        <w:t xml:space="preserve"> &amp; Aune, 2018). Parents and professionals also influence the emerging identities of young people via the support they provide and attitudes they hold of who the young adults are and who they have the possibility to be (Morris, 2004</w:t>
      </w:r>
      <w:r w:rsidR="008B2883">
        <w:t>,</w:t>
      </w:r>
      <w:r>
        <w:t xml:space="preserve"> cited in </w:t>
      </w:r>
      <w:proofErr w:type="spellStart"/>
      <w:r>
        <w:t>Midjo</w:t>
      </w:r>
      <w:proofErr w:type="spellEnd"/>
      <w:r>
        <w:t xml:space="preserve"> &amp; Aune, 2018). In this regard, parents and professionals, including teachers, can strongly influence the experience of a meaningful and valued working life and future dreams of involvement in interesting education and work (</w:t>
      </w:r>
      <w:proofErr w:type="spellStart"/>
      <w:r>
        <w:t>Midjo</w:t>
      </w:r>
      <w:proofErr w:type="spellEnd"/>
      <w:r>
        <w:t xml:space="preserve"> &amp; Aune, 2018). </w:t>
      </w:r>
    </w:p>
    <w:p w14:paraId="3D8ADF44" w14:textId="3D02682C" w:rsidR="00777088" w:rsidRDefault="00777088" w:rsidP="009B7625">
      <w:pPr>
        <w:snapToGrid w:val="0"/>
        <w:spacing w:line="276" w:lineRule="auto"/>
      </w:pPr>
      <w:r>
        <w:t>Recent National Disability Insurance Agency (NDIA</w:t>
      </w:r>
      <w:r w:rsidR="00DC6C57">
        <w:t>, 2018</w:t>
      </w:r>
      <w:r>
        <w:t>) data compared children with disability (including intellectual disability) who are NDIS participants attending mainstream and special schools. The data showed that children attending mainstream schools were more likely to:</w:t>
      </w:r>
    </w:p>
    <w:p w14:paraId="13A3F81E" w14:textId="77777777" w:rsidR="00777088" w:rsidRDefault="00777088" w:rsidP="009B7625">
      <w:pPr>
        <w:pStyle w:val="ListParagraph"/>
        <w:numPr>
          <w:ilvl w:val="0"/>
          <w:numId w:val="15"/>
        </w:numPr>
        <w:snapToGrid w:val="0"/>
        <w:spacing w:line="276" w:lineRule="auto"/>
      </w:pPr>
      <w:r>
        <w:t xml:space="preserve">be developing independence, </w:t>
      </w:r>
    </w:p>
    <w:p w14:paraId="14724428" w14:textId="77777777" w:rsidR="00777088" w:rsidRDefault="00777088" w:rsidP="009B7625">
      <w:pPr>
        <w:pStyle w:val="ListParagraph"/>
        <w:numPr>
          <w:ilvl w:val="0"/>
          <w:numId w:val="15"/>
        </w:numPr>
        <w:snapToGrid w:val="0"/>
        <w:spacing w:line="276" w:lineRule="auto"/>
      </w:pPr>
      <w:r>
        <w:t xml:space="preserve">have a genuine say in decisions about themselves, </w:t>
      </w:r>
    </w:p>
    <w:p w14:paraId="7EAD8147" w14:textId="77777777" w:rsidR="00777088" w:rsidRDefault="00777088" w:rsidP="009B7625">
      <w:pPr>
        <w:pStyle w:val="ListParagraph"/>
        <w:numPr>
          <w:ilvl w:val="0"/>
          <w:numId w:val="15"/>
        </w:numPr>
        <w:snapToGrid w:val="0"/>
        <w:spacing w:line="276" w:lineRule="auto"/>
      </w:pPr>
      <w:r>
        <w:t xml:space="preserve">make friends outside the family, </w:t>
      </w:r>
    </w:p>
    <w:p w14:paraId="61457D52" w14:textId="252D85F3" w:rsidR="00777088" w:rsidRDefault="00777088" w:rsidP="009B7625">
      <w:pPr>
        <w:pStyle w:val="ListParagraph"/>
        <w:numPr>
          <w:ilvl w:val="0"/>
          <w:numId w:val="15"/>
        </w:numPr>
        <w:snapToGrid w:val="0"/>
        <w:spacing w:line="276" w:lineRule="auto"/>
      </w:pPr>
      <w:r>
        <w:t>spend time with friends without an adult present</w:t>
      </w:r>
      <w:r w:rsidR="00DC6C57">
        <w:t>.</w:t>
      </w:r>
    </w:p>
    <w:p w14:paraId="41E5AECC" w14:textId="77777777" w:rsidR="00777088" w:rsidRDefault="00777088" w:rsidP="009B7625">
      <w:pPr>
        <w:snapToGrid w:val="0"/>
        <w:spacing w:line="276" w:lineRule="auto"/>
      </w:pPr>
      <w:r>
        <w:t xml:space="preserve">Other research has shown that these elements, particularly the extent of social network and social capital, as well as the level of involvement in decision making in their employment goals, are all predictors of increased open employment of people with intellectual disability (Southward &amp; </w:t>
      </w:r>
      <w:proofErr w:type="spellStart"/>
      <w:r>
        <w:t>Kyzar</w:t>
      </w:r>
      <w:proofErr w:type="spellEnd"/>
      <w:r>
        <w:t>, 2017).</w:t>
      </w:r>
    </w:p>
    <w:p w14:paraId="5FEA1BC3" w14:textId="64A63404" w:rsidR="00950696" w:rsidRDefault="00777088" w:rsidP="009B7625">
      <w:pPr>
        <w:snapToGrid w:val="0"/>
        <w:spacing w:line="276" w:lineRule="auto"/>
      </w:pPr>
      <w:r w:rsidRPr="001D184D">
        <w:t xml:space="preserve">However, </w:t>
      </w:r>
      <w:r>
        <w:t>there is also evidence of negative outcomes of engagement of some children in mainstream settings. P</w:t>
      </w:r>
      <w:r w:rsidRPr="001D184D">
        <w:t xml:space="preserve">rofessionals and parents need to be aware that </w:t>
      </w:r>
      <w:r>
        <w:t>children with intellectual disability</w:t>
      </w:r>
      <w:r w:rsidRPr="001D184D">
        <w:t xml:space="preserve"> in integrated classrooms might not necessarily </w:t>
      </w:r>
      <w:r>
        <w:t>experience</w:t>
      </w:r>
      <w:r w:rsidRPr="001D184D">
        <w:t xml:space="preserve"> high levels of classroom social acceptance. </w:t>
      </w:r>
      <w:r>
        <w:t>Targeted strategies may be needed to</w:t>
      </w:r>
      <w:r w:rsidRPr="001D184D">
        <w:t xml:space="preserve"> </w:t>
      </w:r>
      <w:r w:rsidRPr="001D184D">
        <w:lastRenderedPageBreak/>
        <w:t xml:space="preserve">improve the social status of </w:t>
      </w:r>
      <w:r>
        <w:t>children with intellectual disability</w:t>
      </w:r>
      <w:r w:rsidRPr="001D184D">
        <w:t xml:space="preserve"> i</w:t>
      </w:r>
      <w:r>
        <w:t>n mainstream</w:t>
      </w:r>
      <w:r w:rsidRPr="001D184D">
        <w:t xml:space="preserve"> education</w:t>
      </w:r>
      <w:r>
        <w:t xml:space="preserve"> and ensure genuine inclusion, such as ensuring </w:t>
      </w:r>
      <w:r w:rsidRPr="001D184D">
        <w:t>teachers and children are prepared for integration</w:t>
      </w:r>
      <w:r w:rsidRPr="0056451D">
        <w:t xml:space="preserve"> </w:t>
      </w:r>
      <w:r>
        <w:t>(Freeman</w:t>
      </w:r>
      <w:r w:rsidRPr="0056451D">
        <w:t xml:space="preserve"> </w:t>
      </w:r>
      <w:r>
        <w:t xml:space="preserve">&amp; </w:t>
      </w:r>
      <w:proofErr w:type="spellStart"/>
      <w:r>
        <w:t>Alkin</w:t>
      </w:r>
      <w:proofErr w:type="spellEnd"/>
      <w:r>
        <w:t>, 2000).</w:t>
      </w:r>
    </w:p>
    <w:p w14:paraId="0A6E726E" w14:textId="77777777" w:rsidR="00777088" w:rsidRDefault="00777088" w:rsidP="009B7625">
      <w:pPr>
        <w:pStyle w:val="Number2"/>
        <w:spacing w:before="120"/>
        <w:ind w:left="284" w:hanging="284"/>
      </w:pPr>
      <w:r>
        <w:t>Outcomes of special schools</w:t>
      </w:r>
    </w:p>
    <w:p w14:paraId="4A289F35" w14:textId="2D1B8B22" w:rsidR="00777088" w:rsidRDefault="00777088" w:rsidP="009B7625">
      <w:pPr>
        <w:snapToGrid w:val="0"/>
        <w:spacing w:line="276" w:lineRule="auto"/>
        <w:rPr>
          <w:sz w:val="26"/>
          <w:szCs w:val="26"/>
        </w:rPr>
      </w:pPr>
      <w:r>
        <w:t xml:space="preserve">The UK study discussed above also found outcomes in </w:t>
      </w:r>
      <w:proofErr w:type="spellStart"/>
      <w:r>
        <w:t>favour</w:t>
      </w:r>
      <w:proofErr w:type="spellEnd"/>
      <w:r>
        <w:t xml:space="preserve"> of special school education. Young people with mild learning or </w:t>
      </w:r>
      <w:proofErr w:type="spellStart"/>
      <w:r>
        <w:t>behavioural</w:t>
      </w:r>
      <w:proofErr w:type="spellEnd"/>
      <w:r>
        <w:t xml:space="preserve"> disabilities attending special schools were more likely than their peers at mainstream schools to aspire to </w:t>
      </w:r>
      <w:r w:rsidR="00661BB1">
        <w:t>post-secondary</w:t>
      </w:r>
      <w:r>
        <w:t xml:space="preserve"> education, </w:t>
      </w:r>
      <w:r w:rsidR="000C08E2">
        <w:t>al</w:t>
      </w:r>
      <w:r>
        <w:t>though of a lower level (Casey et al.,</w:t>
      </w:r>
      <w:r w:rsidRPr="00902BDF">
        <w:t xml:space="preserve"> 200</w:t>
      </w:r>
      <w:r w:rsidR="00280EE0">
        <w:t>6</w:t>
      </w:r>
      <w:r>
        <w:t xml:space="preserve">). </w:t>
      </w:r>
    </w:p>
    <w:p w14:paraId="13708567" w14:textId="5CCCFB5C" w:rsidR="00777088" w:rsidRDefault="00777088" w:rsidP="009B7625">
      <w:pPr>
        <w:snapToGrid w:val="0"/>
        <w:spacing w:line="276" w:lineRule="auto"/>
      </w:pPr>
      <w:r>
        <w:t xml:space="preserve">The recent NDIA </w:t>
      </w:r>
      <w:r w:rsidR="000C08E2">
        <w:t xml:space="preserve">(2018) </w:t>
      </w:r>
      <w:r>
        <w:t>data discussed above found that children attending special schools were more likely to experience the following outcomes than those in mainstream settings:</w:t>
      </w:r>
    </w:p>
    <w:p w14:paraId="5EBA8F64" w14:textId="77777777" w:rsidR="00777088" w:rsidRDefault="00777088" w:rsidP="009B7625">
      <w:pPr>
        <w:pStyle w:val="ListParagraph"/>
        <w:numPr>
          <w:ilvl w:val="0"/>
          <w:numId w:val="16"/>
        </w:numPr>
        <w:snapToGrid w:val="0"/>
        <w:spacing w:line="276" w:lineRule="auto"/>
      </w:pPr>
      <w:r>
        <w:t xml:space="preserve">feel genuinely included </w:t>
      </w:r>
    </w:p>
    <w:p w14:paraId="361BDA67" w14:textId="77777777" w:rsidR="00777088" w:rsidRDefault="00777088" w:rsidP="009B7625">
      <w:pPr>
        <w:pStyle w:val="ListParagraph"/>
        <w:numPr>
          <w:ilvl w:val="0"/>
          <w:numId w:val="16"/>
        </w:numPr>
        <w:snapToGrid w:val="0"/>
        <w:spacing w:line="276" w:lineRule="auto"/>
      </w:pPr>
      <w:r>
        <w:t xml:space="preserve">be happy at school </w:t>
      </w:r>
    </w:p>
    <w:p w14:paraId="65966A8C" w14:textId="77777777" w:rsidR="00777088" w:rsidRDefault="00777088" w:rsidP="009B7625">
      <w:pPr>
        <w:pStyle w:val="ListParagraph"/>
        <w:numPr>
          <w:ilvl w:val="0"/>
          <w:numId w:val="16"/>
        </w:numPr>
        <w:snapToGrid w:val="0"/>
        <w:spacing w:line="276" w:lineRule="auto"/>
      </w:pPr>
      <w:r>
        <w:t>have parents/</w:t>
      </w:r>
      <w:proofErr w:type="spellStart"/>
      <w:r>
        <w:t>carers</w:t>
      </w:r>
      <w:proofErr w:type="spellEnd"/>
      <w:r>
        <w:t xml:space="preserve"> who feel informed of their child’s goals at school </w:t>
      </w:r>
    </w:p>
    <w:p w14:paraId="5682617D" w14:textId="4DDD5ED3" w:rsidR="00777088" w:rsidRDefault="00777088" w:rsidP="009B7625">
      <w:pPr>
        <w:pStyle w:val="ListParagraph"/>
        <w:numPr>
          <w:ilvl w:val="0"/>
          <w:numId w:val="16"/>
        </w:numPr>
        <w:snapToGrid w:val="0"/>
        <w:spacing w:line="276" w:lineRule="auto"/>
      </w:pPr>
      <w:r>
        <w:t>have parents/</w:t>
      </w:r>
      <w:proofErr w:type="spellStart"/>
      <w:r>
        <w:t>carers</w:t>
      </w:r>
      <w:proofErr w:type="spellEnd"/>
      <w:r>
        <w:t xml:space="preserve"> who feel satisfied that the school listens to them in relation to their child’s education. </w:t>
      </w:r>
    </w:p>
    <w:p w14:paraId="62E2D013" w14:textId="452D3E18" w:rsidR="00777088" w:rsidRDefault="00777088" w:rsidP="009B7625">
      <w:pPr>
        <w:snapToGrid w:val="0"/>
        <w:spacing w:line="276" w:lineRule="auto"/>
      </w:pPr>
      <w:r>
        <w:t xml:space="preserve">While evidence related to school outcomes in Australia is extremely limited, some data shows outcomes of students leaving special schools (where </w:t>
      </w:r>
      <w:proofErr w:type="gramStart"/>
      <w:r>
        <w:t>the majority of</w:t>
      </w:r>
      <w:proofErr w:type="gramEnd"/>
      <w:r>
        <w:t xml:space="preserve"> enrolments are those with intellectual disability). A </w:t>
      </w:r>
      <w:r w:rsidR="00BE196B">
        <w:t>Queensland G</w:t>
      </w:r>
      <w:r>
        <w:t xml:space="preserve">overnment report </w:t>
      </w:r>
      <w:r w:rsidR="00BE196B">
        <w:t>(Next Step Team, 2018)</w:t>
      </w:r>
      <w:r w:rsidR="0005110D">
        <w:t xml:space="preserve"> </w:t>
      </w:r>
      <w:r>
        <w:t xml:space="preserve">showed that 371 students in special schools in </w:t>
      </w:r>
      <w:r w:rsidR="00BE196B">
        <w:t xml:space="preserve">Queensland </w:t>
      </w:r>
      <w:r>
        <w:t>completed Year 12 in 2017. Around three quarters of students provided data about their post-school destinations:</w:t>
      </w:r>
    </w:p>
    <w:p w14:paraId="325556AC" w14:textId="77777777" w:rsidR="00777088" w:rsidRDefault="00777088" w:rsidP="009B7625">
      <w:pPr>
        <w:pStyle w:val="ListParagraph"/>
        <w:numPr>
          <w:ilvl w:val="0"/>
          <w:numId w:val="18"/>
        </w:numPr>
        <w:snapToGrid w:val="0"/>
        <w:spacing w:line="276" w:lineRule="auto"/>
      </w:pPr>
      <w:r>
        <w:t>31% attended day services</w:t>
      </w:r>
    </w:p>
    <w:p w14:paraId="0EEAE24C" w14:textId="75953D2C" w:rsidR="00777088" w:rsidRDefault="00777088" w:rsidP="009B7625">
      <w:pPr>
        <w:pStyle w:val="ListParagraph"/>
        <w:numPr>
          <w:ilvl w:val="0"/>
          <w:numId w:val="18"/>
        </w:numPr>
        <w:snapToGrid w:val="0"/>
        <w:spacing w:line="276" w:lineRule="auto"/>
      </w:pPr>
      <w:r>
        <w:t xml:space="preserve">22% were studying in </w:t>
      </w:r>
      <w:r w:rsidR="0005110D">
        <w:t>post-secondary</w:t>
      </w:r>
      <w:r>
        <w:t xml:space="preserve"> education</w:t>
      </w:r>
    </w:p>
    <w:p w14:paraId="63F840F8" w14:textId="77777777" w:rsidR="00777088" w:rsidRDefault="00777088" w:rsidP="009B7625">
      <w:pPr>
        <w:pStyle w:val="ListParagraph"/>
        <w:numPr>
          <w:ilvl w:val="0"/>
          <w:numId w:val="18"/>
        </w:numPr>
        <w:snapToGrid w:val="0"/>
        <w:spacing w:line="276" w:lineRule="auto"/>
      </w:pPr>
      <w:r>
        <w:t xml:space="preserve">19% were not in the </w:t>
      </w:r>
      <w:proofErr w:type="spellStart"/>
      <w:r>
        <w:t>labour</w:t>
      </w:r>
      <w:proofErr w:type="spellEnd"/>
      <w:r>
        <w:t xml:space="preserve"> force or education and training</w:t>
      </w:r>
    </w:p>
    <w:p w14:paraId="45E14F3F" w14:textId="77777777" w:rsidR="00777088" w:rsidRDefault="00777088" w:rsidP="009B7625">
      <w:pPr>
        <w:pStyle w:val="ListParagraph"/>
        <w:numPr>
          <w:ilvl w:val="0"/>
          <w:numId w:val="18"/>
        </w:numPr>
        <w:snapToGrid w:val="0"/>
        <w:spacing w:line="276" w:lineRule="auto"/>
      </w:pPr>
      <w:r>
        <w:t>11% were in unpaid or volunteer work</w:t>
      </w:r>
    </w:p>
    <w:p w14:paraId="6FAA05F7" w14:textId="77777777" w:rsidR="00777088" w:rsidRDefault="00777088" w:rsidP="009B7625">
      <w:pPr>
        <w:pStyle w:val="ListParagraph"/>
        <w:numPr>
          <w:ilvl w:val="0"/>
          <w:numId w:val="18"/>
        </w:numPr>
        <w:snapToGrid w:val="0"/>
        <w:spacing w:line="276" w:lineRule="auto"/>
      </w:pPr>
      <w:r>
        <w:t>7% were looking for work</w:t>
      </w:r>
    </w:p>
    <w:p w14:paraId="68B3CC04" w14:textId="77777777" w:rsidR="00777088" w:rsidRDefault="00777088" w:rsidP="009B7625">
      <w:pPr>
        <w:pStyle w:val="ListParagraph"/>
        <w:numPr>
          <w:ilvl w:val="0"/>
          <w:numId w:val="18"/>
        </w:numPr>
        <w:snapToGrid w:val="0"/>
        <w:spacing w:line="276" w:lineRule="auto"/>
      </w:pPr>
      <w:r>
        <w:t>6% were in supported employment</w:t>
      </w:r>
    </w:p>
    <w:p w14:paraId="54A695E3" w14:textId="77777777" w:rsidR="00777088" w:rsidRDefault="00777088" w:rsidP="009B7625">
      <w:pPr>
        <w:pStyle w:val="ListParagraph"/>
        <w:numPr>
          <w:ilvl w:val="0"/>
          <w:numId w:val="18"/>
        </w:numPr>
        <w:snapToGrid w:val="0"/>
        <w:spacing w:line="276" w:lineRule="auto"/>
      </w:pPr>
      <w:r>
        <w:t>3% were in open employment</w:t>
      </w:r>
    </w:p>
    <w:p w14:paraId="15D0F68A" w14:textId="05C4656F" w:rsidR="00777088" w:rsidRDefault="00777088" w:rsidP="009B7625">
      <w:pPr>
        <w:pStyle w:val="ListParagraph"/>
        <w:numPr>
          <w:ilvl w:val="0"/>
          <w:numId w:val="18"/>
        </w:numPr>
        <w:snapToGrid w:val="0"/>
        <w:spacing w:line="276" w:lineRule="auto"/>
      </w:pPr>
      <w:r>
        <w:t>1% had an apprenticeship or traineeship.</w:t>
      </w:r>
    </w:p>
    <w:p w14:paraId="0C8ED424" w14:textId="53F6F1FF" w:rsidR="00777088" w:rsidRDefault="00777088" w:rsidP="009B7625">
      <w:pPr>
        <w:spacing w:line="276" w:lineRule="auto"/>
      </w:pPr>
      <w:r>
        <w:t xml:space="preserve">This range of outcomes is </w:t>
      </w:r>
      <w:proofErr w:type="gramStart"/>
      <w:r>
        <w:t>similar to</w:t>
      </w:r>
      <w:proofErr w:type="gramEnd"/>
      <w:r>
        <w:t xml:space="preserve"> an earlier report from the Victorian </w:t>
      </w:r>
      <w:r w:rsidR="0005110D">
        <w:t>G</w:t>
      </w:r>
      <w:r>
        <w:t>overnment</w:t>
      </w:r>
      <w:r w:rsidR="009B7625">
        <w:t xml:space="preserve"> (State of Victoria, Department of Education and Training, 2015)</w:t>
      </w:r>
      <w:r>
        <w:t>. Victorian graduates of special schools, including those completing Year 12 or equivalent or VCAL, in 2014 reported outcomes of:</w:t>
      </w:r>
    </w:p>
    <w:p w14:paraId="5E6D31E8" w14:textId="77777777" w:rsidR="00777088" w:rsidRPr="007D12C5" w:rsidRDefault="00777088" w:rsidP="009B7625">
      <w:pPr>
        <w:pStyle w:val="ListParagraph"/>
        <w:numPr>
          <w:ilvl w:val="0"/>
          <w:numId w:val="19"/>
        </w:numPr>
        <w:spacing w:line="276" w:lineRule="auto"/>
      </w:pPr>
      <w:r w:rsidRPr="007D12C5">
        <w:t>5</w:t>
      </w:r>
      <w:r>
        <w:t>9%</w:t>
      </w:r>
      <w:r w:rsidRPr="007D12C5">
        <w:t xml:space="preserve"> </w:t>
      </w:r>
      <w:r>
        <w:t>attending a day service</w:t>
      </w:r>
      <w:r w:rsidRPr="007D12C5">
        <w:t xml:space="preserve"> </w:t>
      </w:r>
    </w:p>
    <w:p w14:paraId="1E208067" w14:textId="4D8A1503" w:rsidR="00777088" w:rsidRPr="007D12C5" w:rsidRDefault="00777088" w:rsidP="009B7625">
      <w:pPr>
        <w:pStyle w:val="ListParagraph"/>
        <w:numPr>
          <w:ilvl w:val="0"/>
          <w:numId w:val="19"/>
        </w:numPr>
        <w:spacing w:line="276" w:lineRule="auto"/>
      </w:pPr>
      <w:r>
        <w:t>29%</w:t>
      </w:r>
      <w:r w:rsidRPr="007D12C5">
        <w:t xml:space="preserve"> </w:t>
      </w:r>
      <w:r>
        <w:t xml:space="preserve">studying </w:t>
      </w:r>
      <w:r w:rsidR="00274862">
        <w:t>post-secondary</w:t>
      </w:r>
      <w:r>
        <w:t xml:space="preserve"> education,</w:t>
      </w:r>
      <w:r w:rsidRPr="007D12C5">
        <w:t xml:space="preserve"> mostly in a TAFE institution</w:t>
      </w:r>
    </w:p>
    <w:p w14:paraId="5FEAB134" w14:textId="4A00FF2D" w:rsidR="00777088" w:rsidRDefault="00777088" w:rsidP="009B7625">
      <w:pPr>
        <w:pStyle w:val="ListParagraph"/>
        <w:numPr>
          <w:ilvl w:val="0"/>
          <w:numId w:val="19"/>
        </w:numPr>
        <w:spacing w:line="276" w:lineRule="auto"/>
      </w:pPr>
      <w:r w:rsidRPr="007D12C5">
        <w:t>15</w:t>
      </w:r>
      <w:r>
        <w:t>%</w:t>
      </w:r>
      <w:r w:rsidRPr="007D12C5">
        <w:t xml:space="preserve"> employed</w:t>
      </w:r>
      <w:r>
        <w:t>,</w:t>
      </w:r>
      <w:r w:rsidRPr="007D12C5">
        <w:t xml:space="preserve"> </w:t>
      </w:r>
      <w:r>
        <w:t>with 61% of these in</w:t>
      </w:r>
      <w:r w:rsidRPr="007D12C5">
        <w:t xml:space="preserve"> an Australian Disability Enterprise.</w:t>
      </w:r>
    </w:p>
    <w:p w14:paraId="27B584CB" w14:textId="124869C3" w:rsidR="00777088" w:rsidRDefault="00777088" w:rsidP="009B7625">
      <w:pPr>
        <w:snapToGrid w:val="0"/>
        <w:spacing w:line="276" w:lineRule="auto"/>
      </w:pPr>
      <w:r>
        <w:t xml:space="preserve">Unfortunately, there is no </w:t>
      </w:r>
      <w:r w:rsidR="004F1CD7">
        <w:t xml:space="preserve">recent data on outcomes of students with disability in Victoria (State of Victoria, Department of Education and Training, 2018), nor </w:t>
      </w:r>
      <w:r>
        <w:t>data to identify the outcomes of students with intellectual disability in mainstream schools to enable a comparison with the outcomes of special schools.</w:t>
      </w:r>
    </w:p>
    <w:p w14:paraId="79B428CC" w14:textId="77777777" w:rsidR="00777088" w:rsidRDefault="00777088" w:rsidP="00CE427B">
      <w:pPr>
        <w:snapToGrid w:val="0"/>
        <w:spacing w:after="120" w:line="276" w:lineRule="auto"/>
      </w:pPr>
    </w:p>
    <w:p w14:paraId="402B73D4" w14:textId="77777777" w:rsidR="00C73890" w:rsidRDefault="00C73890" w:rsidP="00CE427B">
      <w:pPr>
        <w:shd w:val="clear" w:color="auto" w:fill="FFFFFF"/>
        <w:spacing w:after="120" w:line="276" w:lineRule="auto"/>
        <w:ind w:left="446" w:hanging="446"/>
        <w:rPr>
          <w:rFonts w:cstheme="minorHAnsi"/>
          <w:lang w:val="en" w:eastAsia="en-AU"/>
        </w:rPr>
        <w:sectPr w:rsidR="00C73890" w:rsidSect="008926C2">
          <w:pgSz w:w="11909" w:h="16834" w:code="9"/>
          <w:pgMar w:top="964" w:right="964" w:bottom="964" w:left="964" w:header="432" w:footer="720" w:gutter="0"/>
          <w:cols w:space="720"/>
          <w:docGrid w:linePitch="360"/>
        </w:sectPr>
      </w:pPr>
    </w:p>
    <w:p w14:paraId="61367378" w14:textId="6093ACB9" w:rsidR="00CE7F9C" w:rsidRDefault="00CE7F9C" w:rsidP="00CE427B">
      <w:pPr>
        <w:pStyle w:val="Heading1"/>
        <w:pBdr>
          <w:bottom w:val="single" w:sz="4" w:space="1" w:color="auto"/>
        </w:pBdr>
        <w:spacing w:line="276" w:lineRule="auto"/>
      </w:pPr>
      <w:bookmarkStart w:id="59" w:name="_Toc49462463"/>
      <w:r>
        <w:lastRenderedPageBreak/>
        <w:t>evidence piece 5:</w:t>
      </w:r>
      <w:bookmarkEnd w:id="59"/>
    </w:p>
    <w:p w14:paraId="3A4A48DC" w14:textId="2CC8F42A" w:rsidR="00720991" w:rsidRDefault="00720991" w:rsidP="00CE427B">
      <w:pPr>
        <w:pStyle w:val="Heading1"/>
        <w:pBdr>
          <w:bottom w:val="single" w:sz="4" w:space="1" w:color="auto"/>
        </w:pBdr>
        <w:spacing w:line="276" w:lineRule="auto"/>
      </w:pPr>
      <w:bookmarkStart w:id="60" w:name="_Toc49462464"/>
      <w:r w:rsidRPr="001744F5">
        <w:t xml:space="preserve">Year 12 </w:t>
      </w:r>
      <w:r>
        <w:t xml:space="preserve">completion as a predictor of </w:t>
      </w:r>
      <w:r w:rsidRPr="001744F5">
        <w:t xml:space="preserve">employment for </w:t>
      </w:r>
      <w:r>
        <w:t>people</w:t>
      </w:r>
      <w:r w:rsidRPr="001744F5">
        <w:t xml:space="preserve"> with intellectual disability</w:t>
      </w:r>
      <w:bookmarkEnd w:id="60"/>
    </w:p>
    <w:p w14:paraId="4ED9EAED" w14:textId="77777777" w:rsidR="00720991" w:rsidRDefault="00720991" w:rsidP="00CE427B">
      <w:pPr>
        <w:spacing w:line="276" w:lineRule="auto"/>
      </w:pPr>
    </w:p>
    <w:p w14:paraId="1916591F" w14:textId="77777777" w:rsidR="00720991" w:rsidRDefault="00720991" w:rsidP="00CE427B">
      <w:pPr>
        <w:pStyle w:val="Heading2"/>
      </w:pPr>
      <w:bookmarkStart w:id="61" w:name="_Toc49417897"/>
      <w:r>
        <w:t>Year 12 and senior years – the Australian Education System</w:t>
      </w:r>
      <w:bookmarkEnd w:id="61"/>
    </w:p>
    <w:p w14:paraId="0965B7A2" w14:textId="68E53550" w:rsidR="00720991" w:rsidRDefault="00720991" w:rsidP="00CE427B">
      <w:pPr>
        <w:spacing w:line="276" w:lineRule="auto"/>
      </w:pPr>
      <w:r>
        <w:t>School education is similar across all of Australia with only minor variations between states and territories. School education (primary and secondary) is compulsory between the ages of six and sixteen (Year 1 to Year 9 or 10). Senior secondary school runs for two years, Years 11 and 12 (</w:t>
      </w:r>
      <w:r w:rsidR="00492BFA" w:rsidRPr="00492BFA">
        <w:t>Australian Trade and Investment Commission</w:t>
      </w:r>
      <w:r>
        <w:t xml:space="preserve">, </w:t>
      </w:r>
      <w:r w:rsidR="0085797A">
        <w:t>n.d.</w:t>
      </w:r>
      <w:r>
        <w:t>). Senior years can include a range of activities including school-based vocational education and training, university entrance studies, school-based apprenticeships and traineeships and other programs of study.</w:t>
      </w:r>
    </w:p>
    <w:p w14:paraId="1E426C43" w14:textId="2D6FFCC9" w:rsidR="00720991" w:rsidRPr="00F015C3" w:rsidRDefault="00720991" w:rsidP="00CE427B">
      <w:pPr>
        <w:pStyle w:val="Heading2"/>
        <w:spacing w:line="276" w:lineRule="auto"/>
      </w:pPr>
      <w:bookmarkStart w:id="62" w:name="_Toc49417898"/>
      <w:r>
        <w:t xml:space="preserve">The problem: </w:t>
      </w:r>
      <w:r w:rsidR="00D63EE1">
        <w:t>L</w:t>
      </w:r>
      <w:r>
        <w:t>ow educational attainment for people with intellectual disability</w:t>
      </w:r>
      <w:bookmarkEnd w:id="62"/>
    </w:p>
    <w:p w14:paraId="754018D5" w14:textId="3AEBAFD9" w:rsidR="00720991" w:rsidRPr="00A87D1D" w:rsidRDefault="00720991" w:rsidP="00CE427B">
      <w:pPr>
        <w:spacing w:line="276" w:lineRule="auto"/>
      </w:pPr>
      <w:r w:rsidRPr="00F015C3">
        <w:t>In Australia, people with disability have significantly lower rates of education</w:t>
      </w:r>
      <w:r>
        <w:t xml:space="preserve"> attainment</w:t>
      </w:r>
      <w:r w:rsidRPr="00F015C3">
        <w:t xml:space="preserve"> than people without disability</w:t>
      </w:r>
      <w:r>
        <w:t xml:space="preserve">. Recent Year 12 completion rates show that approximately </w:t>
      </w:r>
      <w:r w:rsidRPr="00A87D1D">
        <w:t>1 in 3 (32%) people with disability aged 20 and over, and 1 in 4 (25%) with severe or profound disability have completed Year 12 or equivalent (</w:t>
      </w:r>
      <w:r>
        <w:t>Australian Institute of Health and Welfare, 2017</w:t>
      </w:r>
      <w:r w:rsidR="00B00DBE">
        <w:t>a</w:t>
      </w:r>
      <w:r w:rsidR="004B53CF">
        <w:t>,</w:t>
      </w:r>
      <w:r>
        <w:t xml:space="preserve"> 2019a</w:t>
      </w:r>
      <w:r w:rsidRPr="00A87D1D">
        <w:t>). This was much lower than</w:t>
      </w:r>
      <w:r>
        <w:t xml:space="preserve"> people without disability who have a </w:t>
      </w:r>
      <w:r w:rsidRPr="00A87D1D">
        <w:t xml:space="preserve">62% </w:t>
      </w:r>
      <w:r>
        <w:t>completion rate of year 12</w:t>
      </w:r>
      <w:r w:rsidRPr="00A87D1D">
        <w:t>.</w:t>
      </w:r>
      <w:r>
        <w:t xml:space="preserve"> Unfortunately, there is little available data about the completion rates of students with intellectual disability in Australia in both mainstream and in special schools.</w:t>
      </w:r>
    </w:p>
    <w:p w14:paraId="3705A30F" w14:textId="77777777" w:rsidR="00720991" w:rsidRDefault="00720991" w:rsidP="00CE427B">
      <w:pPr>
        <w:spacing w:line="276" w:lineRule="auto"/>
      </w:pPr>
      <w:r w:rsidRPr="00F015C3">
        <w:t>Educational attainment has a significant and ongoing impact on workforce participation. In all OECD countries in 2013, individuals with high educational qualifications had both the highest employment rates and the lowest unemployment rates when compared with individuals with lowe</w:t>
      </w:r>
      <w:r>
        <w:t>r educational qualifications</w:t>
      </w:r>
      <w:r w:rsidRPr="00F015C3">
        <w:t xml:space="preserve"> (Australian Human Rights Commission</w:t>
      </w:r>
      <w:r>
        <w:t>,</w:t>
      </w:r>
      <w:r w:rsidRPr="00F015C3">
        <w:t xml:space="preserve"> 2016</w:t>
      </w:r>
      <w:r>
        <w:t xml:space="preserve">). </w:t>
      </w:r>
    </w:p>
    <w:p w14:paraId="6E4D3DB4" w14:textId="7EC5E587" w:rsidR="00720991" w:rsidRDefault="00720991" w:rsidP="00CE427B">
      <w:pPr>
        <w:spacing w:line="276" w:lineRule="auto"/>
        <w:ind w:left="360"/>
      </w:pPr>
      <w:r>
        <w:t>Those who have completed Year 12 are more likely to continue with further education or training and have a more successful transition into the workforce (ABS, 2011</w:t>
      </w:r>
      <w:r w:rsidR="00FD3941">
        <w:t>,</w:t>
      </w:r>
      <w:r>
        <w:t xml:space="preserve"> cited </w:t>
      </w:r>
      <w:r w:rsidR="00B7782E">
        <w:t>in</w:t>
      </w:r>
      <w:r>
        <w:t xml:space="preserve"> Australian Institute of Health and Welfare, 2019b)</w:t>
      </w:r>
      <w:r w:rsidR="00B00DBE">
        <w:t>.</w:t>
      </w:r>
    </w:p>
    <w:p w14:paraId="244518A1" w14:textId="51B0433D" w:rsidR="00720991" w:rsidRPr="00A87D1D" w:rsidRDefault="00720991" w:rsidP="00CE427B">
      <w:pPr>
        <w:spacing w:line="276" w:lineRule="auto"/>
      </w:pPr>
      <w:r w:rsidRPr="006F0BC9">
        <w:t xml:space="preserve">Low education achievement is associated with lower work participation and unemployment, a high risk of long-term socioeconomic </w:t>
      </w:r>
      <w:proofErr w:type="spellStart"/>
      <w:r w:rsidRPr="006F0BC9">
        <w:t>marginali</w:t>
      </w:r>
      <w:r w:rsidR="002B6DA9">
        <w:t>s</w:t>
      </w:r>
      <w:r w:rsidRPr="006F0BC9">
        <w:t>ation</w:t>
      </w:r>
      <w:proofErr w:type="spellEnd"/>
      <w:r w:rsidRPr="006F0BC9">
        <w:t>, and mental and physical health issues. For those with disability, school-non-completers are also far more likely to receive a disability pension or depend on various public benefits early in life (</w:t>
      </w:r>
      <w:proofErr w:type="spellStart"/>
      <w:r w:rsidRPr="006F0BC9">
        <w:t>Myhr</w:t>
      </w:r>
      <w:proofErr w:type="spellEnd"/>
      <w:r w:rsidRPr="006F0BC9">
        <w:t xml:space="preserve"> et al.</w:t>
      </w:r>
      <w:r>
        <w:t>,</w:t>
      </w:r>
      <w:r w:rsidRPr="006F0BC9">
        <w:t xml:space="preserve"> 2018).</w:t>
      </w:r>
      <w:r>
        <w:t xml:space="preserve"> </w:t>
      </w:r>
    </w:p>
    <w:p w14:paraId="09CEA43F" w14:textId="77777777" w:rsidR="00720991" w:rsidRDefault="00720991" w:rsidP="00CE427B">
      <w:pPr>
        <w:spacing w:line="276" w:lineRule="auto"/>
      </w:pPr>
      <w:r>
        <w:t>Those</w:t>
      </w:r>
      <w:r w:rsidRPr="00F015C3">
        <w:t xml:space="preserve"> w</w:t>
      </w:r>
      <w:r>
        <w:t>ith intellectual disability have</w:t>
      </w:r>
      <w:r w:rsidRPr="00F015C3">
        <w:t xml:space="preserve"> particularly high rates of unemployment when compar</w:t>
      </w:r>
      <w:r>
        <w:t xml:space="preserve">ed with other disability groups </w:t>
      </w:r>
      <w:r w:rsidRPr="00F015C3">
        <w:t>(Australian Hu</w:t>
      </w:r>
      <w:r>
        <w:t>man Rights Commission, 2016; Australian Institute of Health and Welfare, 2019a).</w:t>
      </w:r>
    </w:p>
    <w:p w14:paraId="577FAA80" w14:textId="71F788E6" w:rsidR="00720991" w:rsidRPr="006F0BC9" w:rsidRDefault="00720991" w:rsidP="00CE427B">
      <w:pPr>
        <w:pStyle w:val="Heading2"/>
        <w:spacing w:line="276" w:lineRule="auto"/>
      </w:pPr>
      <w:bookmarkStart w:id="63" w:name="_Toc49417899"/>
      <w:r>
        <w:t xml:space="preserve">The solution: </w:t>
      </w:r>
      <w:r w:rsidR="0013008A">
        <w:t>S</w:t>
      </w:r>
      <w:r>
        <w:t>econdary education completion as a predictor of</w:t>
      </w:r>
      <w:r w:rsidRPr="006F0BC9">
        <w:t xml:space="preserve"> employment</w:t>
      </w:r>
      <w:bookmarkEnd w:id="63"/>
    </w:p>
    <w:p w14:paraId="57BCD162" w14:textId="4AC294E7" w:rsidR="00720991" w:rsidRDefault="00720991" w:rsidP="00CE427B">
      <w:pPr>
        <w:spacing w:line="276" w:lineRule="auto"/>
      </w:pPr>
      <w:r>
        <w:t>While the evidence aligning secondary education completion and employment for people with intellectual disability is limited, multiple research studies identify secondary school completion as a predictor of post-secondary open</w:t>
      </w:r>
      <w:r w:rsidRPr="00111C0D">
        <w:t xml:space="preserve"> employment</w:t>
      </w:r>
      <w:r>
        <w:t xml:space="preserve"> for people with disability</w:t>
      </w:r>
      <w:r w:rsidRPr="00111C0D">
        <w:t xml:space="preserve"> (</w:t>
      </w:r>
      <w:bookmarkStart w:id="64" w:name="_Hlk41220052"/>
      <w:proofErr w:type="spellStart"/>
      <w:r w:rsidRPr="00111C0D">
        <w:t>LoBlanco</w:t>
      </w:r>
      <w:proofErr w:type="spellEnd"/>
      <w:r w:rsidRPr="00111C0D">
        <w:t xml:space="preserve"> &amp; Kleinert</w:t>
      </w:r>
      <w:r>
        <w:t>,</w:t>
      </w:r>
      <w:r w:rsidRPr="00111C0D">
        <w:t xml:space="preserve"> 2013</w:t>
      </w:r>
      <w:r>
        <w:t xml:space="preserve">, </w:t>
      </w:r>
      <w:proofErr w:type="spellStart"/>
      <w:r w:rsidRPr="00D44CFA">
        <w:t>Papay</w:t>
      </w:r>
      <w:proofErr w:type="spellEnd"/>
      <w:r w:rsidRPr="00D44CFA">
        <w:t xml:space="preserve"> &amp; Bambara, 2011</w:t>
      </w:r>
      <w:r>
        <w:t>, Shandra &amp; Hogan, 2008</w:t>
      </w:r>
      <w:r w:rsidR="007E0809">
        <w:t>,</w:t>
      </w:r>
      <w:r>
        <w:t xml:space="preserve"> cited in </w:t>
      </w:r>
      <w:r w:rsidRPr="00111C0D">
        <w:t xml:space="preserve">Southward &amp; </w:t>
      </w:r>
      <w:proofErr w:type="spellStart"/>
      <w:r w:rsidRPr="00111C0D">
        <w:t>Kyzar</w:t>
      </w:r>
      <w:proofErr w:type="spellEnd"/>
      <w:r>
        <w:t>,</w:t>
      </w:r>
      <w:r w:rsidRPr="00111C0D">
        <w:t xml:space="preserve"> 2017</w:t>
      </w:r>
      <w:bookmarkEnd w:id="64"/>
      <w:r>
        <w:t>).</w:t>
      </w:r>
      <w:r w:rsidRPr="00111C0D">
        <w:t xml:space="preserve"> </w:t>
      </w:r>
      <w:r>
        <w:t>One suggests that</w:t>
      </w:r>
      <w:r w:rsidRPr="00111C0D">
        <w:t xml:space="preserve"> students with </w:t>
      </w:r>
      <w:r>
        <w:t>intellectual disability</w:t>
      </w:r>
      <w:r w:rsidRPr="00111C0D">
        <w:t xml:space="preserve"> who </w:t>
      </w:r>
      <w:r>
        <w:t xml:space="preserve">successfully </w:t>
      </w:r>
      <w:r w:rsidRPr="00111C0D">
        <w:t xml:space="preserve">completed high school were 4.07 times more likely to secure </w:t>
      </w:r>
      <w:r>
        <w:t>open</w:t>
      </w:r>
      <w:r w:rsidRPr="00111C0D">
        <w:t xml:space="preserve"> employment </w:t>
      </w:r>
      <w:r>
        <w:t>than those students who did not (</w:t>
      </w:r>
      <w:proofErr w:type="spellStart"/>
      <w:r w:rsidRPr="00111C0D">
        <w:t>LoBlanco</w:t>
      </w:r>
      <w:proofErr w:type="spellEnd"/>
      <w:r w:rsidRPr="00111C0D">
        <w:t xml:space="preserve"> &amp; Kleinert</w:t>
      </w:r>
      <w:r>
        <w:t>,</w:t>
      </w:r>
      <w:r w:rsidRPr="00111C0D">
        <w:t xml:space="preserve"> 2013</w:t>
      </w:r>
      <w:r w:rsidR="00EF37A5">
        <w:t>,</w:t>
      </w:r>
      <w:r>
        <w:t xml:space="preserve"> cited in </w:t>
      </w:r>
      <w:r w:rsidRPr="00111C0D">
        <w:t xml:space="preserve">Southward &amp; </w:t>
      </w:r>
      <w:proofErr w:type="spellStart"/>
      <w:r w:rsidRPr="00111C0D">
        <w:t>Kyzar</w:t>
      </w:r>
      <w:proofErr w:type="spellEnd"/>
      <w:r>
        <w:t>,</w:t>
      </w:r>
      <w:r w:rsidRPr="00111C0D">
        <w:t xml:space="preserve"> 2017</w:t>
      </w:r>
      <w:r>
        <w:t>). It should be noted, however, that the research studies in this area compare results of many different types of senior secondary school programs (not solely university entrance studies) and also point to a range of additional factors associated with later employment.</w:t>
      </w:r>
    </w:p>
    <w:p w14:paraId="01B97120" w14:textId="77777777" w:rsidR="00720991" w:rsidRDefault="00720991" w:rsidP="00CE427B">
      <w:pPr>
        <w:spacing w:line="276" w:lineRule="auto"/>
      </w:pPr>
    </w:p>
    <w:p w14:paraId="7F224B0D" w14:textId="77777777" w:rsidR="00CE7F9C" w:rsidRDefault="00CE7F9C" w:rsidP="00CE427B">
      <w:pPr>
        <w:spacing w:line="276" w:lineRule="auto"/>
        <w:ind w:left="360" w:hanging="360"/>
        <w:sectPr w:rsidR="00CE7F9C" w:rsidSect="008926C2">
          <w:pgSz w:w="11909" w:h="16834" w:code="9"/>
          <w:pgMar w:top="964" w:right="964" w:bottom="964" w:left="964" w:header="432" w:footer="720" w:gutter="0"/>
          <w:cols w:space="720"/>
          <w:docGrid w:linePitch="360"/>
        </w:sectPr>
      </w:pPr>
    </w:p>
    <w:p w14:paraId="2520774A" w14:textId="7AB617C2" w:rsidR="000C7D2D" w:rsidRPr="000C7D2D" w:rsidRDefault="000C7D2D" w:rsidP="00CE427B">
      <w:pPr>
        <w:pStyle w:val="Heading1"/>
      </w:pPr>
      <w:bookmarkStart w:id="65" w:name="_Toc49462465"/>
      <w:r w:rsidRPr="000C7D2D">
        <w:lastRenderedPageBreak/>
        <w:t>evidence piece 6:</w:t>
      </w:r>
      <w:bookmarkEnd w:id="65"/>
    </w:p>
    <w:p w14:paraId="38314EF1" w14:textId="2F0C5943" w:rsidR="000C7D2D" w:rsidRPr="000C7D2D" w:rsidRDefault="000C7D2D" w:rsidP="00CE427B">
      <w:pPr>
        <w:pStyle w:val="Heading1"/>
        <w:pBdr>
          <w:bottom w:val="single" w:sz="4" w:space="1" w:color="auto"/>
        </w:pBdr>
      </w:pPr>
      <w:bookmarkStart w:id="66" w:name="_Toc49462466"/>
      <w:r w:rsidRPr="000C7D2D">
        <w:t>Effective transition from school to work and post-secondary education for people with intellectual disability</w:t>
      </w:r>
      <w:bookmarkEnd w:id="66"/>
    </w:p>
    <w:p w14:paraId="56AE35DC" w14:textId="583515C7" w:rsidR="000C7D2D" w:rsidRDefault="000C7D2D" w:rsidP="00CE427B">
      <w:pPr>
        <w:pStyle w:val="Heading2"/>
        <w:spacing w:line="276" w:lineRule="auto"/>
      </w:pPr>
      <w:bookmarkStart w:id="67" w:name="_Toc49417902"/>
      <w:r>
        <w:t xml:space="preserve">What is transition from school to work and </w:t>
      </w:r>
      <w:r w:rsidR="00226977">
        <w:t>post-secondary</w:t>
      </w:r>
      <w:r>
        <w:t xml:space="preserve"> education?</w:t>
      </w:r>
      <w:bookmarkEnd w:id="67"/>
    </w:p>
    <w:p w14:paraId="74552F9B" w14:textId="77777777" w:rsidR="000C7D2D" w:rsidRPr="0027755B" w:rsidRDefault="000C7D2D" w:rsidP="0027755B">
      <w:pPr>
        <w:spacing w:line="276" w:lineRule="auto"/>
        <w:rPr>
          <w:rFonts w:asciiTheme="minorHAnsi" w:hAnsiTheme="minorHAnsi" w:cstheme="minorHAnsi"/>
          <w:szCs w:val="21"/>
        </w:rPr>
      </w:pPr>
      <w:r w:rsidRPr="0027755B">
        <w:rPr>
          <w:rFonts w:asciiTheme="minorHAnsi" w:hAnsiTheme="minorHAnsi" w:cstheme="minorHAnsi"/>
          <w:szCs w:val="21"/>
        </w:rPr>
        <w:t>Understanding ‘transition’ is critical to developing an effective approach. Transition can be understood narrowly, as the movement from secondary school to a post-school option, or more comprehensively, as a longer period of development that involves the emerging adult identity of the child and longer term consideration of, and planning for, post-school options (</w:t>
      </w:r>
      <w:proofErr w:type="spellStart"/>
      <w:r w:rsidRPr="0027755B">
        <w:rPr>
          <w:rFonts w:asciiTheme="minorHAnsi" w:hAnsiTheme="minorHAnsi" w:cstheme="minorHAnsi"/>
          <w:szCs w:val="21"/>
        </w:rPr>
        <w:t>Redgrove</w:t>
      </w:r>
      <w:proofErr w:type="spellEnd"/>
      <w:r w:rsidRPr="0027755B">
        <w:rPr>
          <w:rFonts w:asciiTheme="minorHAnsi" w:hAnsiTheme="minorHAnsi" w:cstheme="minorHAnsi"/>
          <w:szCs w:val="21"/>
        </w:rPr>
        <w:t xml:space="preserve"> et al., 2016).</w:t>
      </w:r>
    </w:p>
    <w:p w14:paraId="031042BA" w14:textId="09037A1C" w:rsidR="000C7D2D" w:rsidRPr="0027755B" w:rsidRDefault="000C7D2D" w:rsidP="0027755B">
      <w:pPr>
        <w:spacing w:line="276" w:lineRule="auto"/>
        <w:ind w:left="360" w:right="360"/>
        <w:rPr>
          <w:rFonts w:asciiTheme="minorHAnsi" w:hAnsiTheme="minorHAnsi" w:cstheme="minorHAnsi"/>
          <w:szCs w:val="21"/>
        </w:rPr>
      </w:pPr>
      <w:r w:rsidRPr="0027755B">
        <w:rPr>
          <w:rFonts w:asciiTheme="minorHAnsi" w:hAnsiTheme="minorHAnsi" w:cstheme="minorHAnsi"/>
          <w:szCs w:val="21"/>
        </w:rPr>
        <w:t>‘School to work’ transition refers to the critical socio-economic life changing period between approximately 15 to 24 years of age – a period when young individuals develop and build skills, based on their initial education and training that helps them become productive members of the society (World Bank, 2009</w:t>
      </w:r>
      <w:r w:rsidR="000165BD" w:rsidRPr="0027755B">
        <w:rPr>
          <w:rFonts w:asciiTheme="minorHAnsi" w:hAnsiTheme="minorHAnsi" w:cstheme="minorHAnsi"/>
          <w:szCs w:val="21"/>
        </w:rPr>
        <w:t>, as</w:t>
      </w:r>
      <w:r w:rsidRPr="0027755B">
        <w:rPr>
          <w:rFonts w:asciiTheme="minorHAnsi" w:hAnsiTheme="minorHAnsi" w:cstheme="minorHAnsi"/>
          <w:szCs w:val="21"/>
        </w:rPr>
        <w:t xml:space="preserve"> cited </w:t>
      </w:r>
      <w:r w:rsidR="000165BD" w:rsidRPr="0027755B">
        <w:rPr>
          <w:rFonts w:asciiTheme="minorHAnsi" w:hAnsiTheme="minorHAnsi" w:cstheme="minorHAnsi"/>
          <w:szCs w:val="21"/>
        </w:rPr>
        <w:t>in</w:t>
      </w:r>
      <w:r w:rsidRPr="0027755B">
        <w:rPr>
          <w:rFonts w:asciiTheme="minorHAnsi" w:hAnsiTheme="minorHAnsi" w:cstheme="minorHAnsi"/>
          <w:szCs w:val="21"/>
        </w:rPr>
        <w:t xml:space="preserve"> Wakeford &amp; Waugh, 2014, p.</w:t>
      </w:r>
      <w:r w:rsidR="00932544" w:rsidRPr="0027755B">
        <w:rPr>
          <w:rFonts w:asciiTheme="minorHAnsi" w:hAnsiTheme="minorHAnsi" w:cstheme="minorHAnsi"/>
          <w:szCs w:val="21"/>
        </w:rPr>
        <w:t xml:space="preserve"> </w:t>
      </w:r>
      <w:r w:rsidRPr="0027755B">
        <w:rPr>
          <w:rFonts w:asciiTheme="minorHAnsi" w:hAnsiTheme="minorHAnsi" w:cstheme="minorHAnsi"/>
          <w:szCs w:val="21"/>
        </w:rPr>
        <w:t>5)</w:t>
      </w:r>
      <w:r w:rsidR="00B00DBE">
        <w:rPr>
          <w:rFonts w:asciiTheme="minorHAnsi" w:hAnsiTheme="minorHAnsi" w:cstheme="minorHAnsi"/>
          <w:szCs w:val="21"/>
        </w:rPr>
        <w:t>.</w:t>
      </w:r>
    </w:p>
    <w:p w14:paraId="21DC7EF6" w14:textId="657046A2" w:rsidR="000C7D2D" w:rsidRPr="0027755B" w:rsidRDefault="000C7D2D" w:rsidP="0027755B">
      <w:pPr>
        <w:snapToGrid w:val="0"/>
        <w:spacing w:line="276" w:lineRule="auto"/>
        <w:rPr>
          <w:rFonts w:asciiTheme="minorHAnsi" w:hAnsiTheme="minorHAnsi" w:cstheme="minorHAnsi"/>
          <w:szCs w:val="21"/>
        </w:rPr>
      </w:pPr>
      <w:r w:rsidRPr="0027755B">
        <w:rPr>
          <w:rFonts w:asciiTheme="minorHAnsi" w:hAnsiTheme="minorHAnsi" w:cstheme="minorHAnsi"/>
          <w:szCs w:val="21"/>
        </w:rPr>
        <w:t xml:space="preserve">Transition planning in the Australian context does not tend to adopt this </w:t>
      </w:r>
      <w:proofErr w:type="gramStart"/>
      <w:r w:rsidRPr="0027755B">
        <w:rPr>
          <w:rFonts w:asciiTheme="minorHAnsi" w:hAnsiTheme="minorHAnsi" w:cstheme="minorHAnsi"/>
          <w:szCs w:val="21"/>
        </w:rPr>
        <w:t>longer term</w:t>
      </w:r>
      <w:proofErr w:type="gramEnd"/>
      <w:r w:rsidRPr="0027755B">
        <w:rPr>
          <w:rFonts w:asciiTheme="minorHAnsi" w:hAnsiTheme="minorHAnsi" w:cstheme="minorHAnsi"/>
          <w:szCs w:val="21"/>
        </w:rPr>
        <w:t xml:space="preserve"> view of transition from school to work for young people with intellectual disability. Nor does an understanding of transition to adulthood for young people with intellectual disability encompass an understanding of a longer period of development over seven to twelve years in which young people develop capacities and skills necessary for employment and adult life (</w:t>
      </w:r>
      <w:proofErr w:type="spellStart"/>
      <w:r w:rsidRPr="0027755B">
        <w:rPr>
          <w:rFonts w:asciiTheme="minorHAnsi" w:hAnsiTheme="minorHAnsi" w:cstheme="minorHAnsi"/>
          <w:szCs w:val="21"/>
        </w:rPr>
        <w:t>Redgrove</w:t>
      </w:r>
      <w:proofErr w:type="spellEnd"/>
      <w:r w:rsidRPr="0027755B">
        <w:rPr>
          <w:rFonts w:asciiTheme="minorHAnsi" w:hAnsiTheme="minorHAnsi" w:cstheme="minorHAnsi"/>
          <w:szCs w:val="21"/>
        </w:rPr>
        <w:t xml:space="preserve"> et al., 2016). Instead, there is evidence that for young people with intellectual disability the transition from school to adulthood is assumed to occur immediately upon leaving school and entering adult services, without the extended period of discovery and broadened experience that accompanies their same-age peers without disability (</w:t>
      </w:r>
      <w:proofErr w:type="spellStart"/>
      <w:r w:rsidRPr="0027755B">
        <w:rPr>
          <w:rFonts w:asciiTheme="minorHAnsi" w:hAnsiTheme="minorHAnsi" w:cstheme="minorHAnsi"/>
          <w:szCs w:val="21"/>
        </w:rPr>
        <w:t>Redgrove</w:t>
      </w:r>
      <w:proofErr w:type="spellEnd"/>
      <w:r w:rsidRPr="0027755B">
        <w:rPr>
          <w:rFonts w:asciiTheme="minorHAnsi" w:hAnsiTheme="minorHAnsi" w:cstheme="minorHAnsi"/>
          <w:szCs w:val="21"/>
        </w:rPr>
        <w:t xml:space="preserve"> et al., 2016)</w:t>
      </w:r>
      <w:r w:rsidR="00B00DBE">
        <w:rPr>
          <w:rFonts w:asciiTheme="minorHAnsi" w:hAnsiTheme="minorHAnsi" w:cstheme="minorHAnsi"/>
          <w:szCs w:val="21"/>
        </w:rPr>
        <w:t>.</w:t>
      </w:r>
    </w:p>
    <w:p w14:paraId="22FF6F59" w14:textId="77777777" w:rsidR="000C7D2D" w:rsidRPr="0027755B" w:rsidRDefault="000C7D2D" w:rsidP="0027755B">
      <w:pPr>
        <w:spacing w:line="276" w:lineRule="auto"/>
        <w:rPr>
          <w:rFonts w:asciiTheme="minorHAnsi" w:hAnsiTheme="minorHAnsi" w:cstheme="minorHAnsi"/>
          <w:szCs w:val="21"/>
        </w:rPr>
      </w:pPr>
      <w:r w:rsidRPr="0027755B">
        <w:rPr>
          <w:rFonts w:asciiTheme="minorHAnsi" w:hAnsiTheme="minorHAnsi" w:cstheme="minorHAnsi"/>
          <w:szCs w:val="21"/>
        </w:rPr>
        <w:t>The period of transition is a complex and challenging time (Leonard et al., 2016). It is a time of heightened opportunities and new risks (</w:t>
      </w:r>
      <w:proofErr w:type="spellStart"/>
      <w:r w:rsidRPr="0027755B">
        <w:rPr>
          <w:rFonts w:asciiTheme="minorHAnsi" w:hAnsiTheme="minorHAnsi" w:cstheme="minorHAnsi"/>
          <w:szCs w:val="21"/>
        </w:rPr>
        <w:t>Blacher</w:t>
      </w:r>
      <w:proofErr w:type="spellEnd"/>
      <w:r w:rsidRPr="0027755B">
        <w:rPr>
          <w:rFonts w:asciiTheme="minorHAnsi" w:hAnsiTheme="minorHAnsi" w:cstheme="minorHAnsi"/>
          <w:szCs w:val="21"/>
        </w:rPr>
        <w:t>, 2001) which challenge the individual, the family and the service system (Davies &amp; Beamish, 2009).</w:t>
      </w:r>
    </w:p>
    <w:p w14:paraId="3C5F7ADB" w14:textId="77777777" w:rsidR="000C7D2D" w:rsidRPr="003C71E7" w:rsidRDefault="000C7D2D" w:rsidP="00CE427B">
      <w:pPr>
        <w:pStyle w:val="Heading2"/>
        <w:spacing w:line="276" w:lineRule="auto"/>
      </w:pPr>
      <w:bookmarkStart w:id="68" w:name="_Toc49417903"/>
      <w:r w:rsidRPr="003C71E7">
        <w:t>The problem</w:t>
      </w:r>
      <w:bookmarkEnd w:id="68"/>
    </w:p>
    <w:p w14:paraId="35F8EF03" w14:textId="6663D36C" w:rsidR="000C7D2D" w:rsidRPr="0027755B" w:rsidRDefault="000C7D2D" w:rsidP="0027755B">
      <w:pPr>
        <w:snapToGrid w:val="0"/>
        <w:spacing w:line="276" w:lineRule="auto"/>
        <w:rPr>
          <w:rFonts w:asciiTheme="minorHAnsi" w:hAnsiTheme="minorHAnsi" w:cstheme="minorHAnsi"/>
          <w:szCs w:val="21"/>
        </w:rPr>
      </w:pPr>
      <w:r w:rsidRPr="0027755B">
        <w:rPr>
          <w:rFonts w:asciiTheme="minorHAnsi" w:hAnsiTheme="minorHAnsi" w:cstheme="minorHAnsi"/>
          <w:szCs w:val="21"/>
        </w:rPr>
        <w:t>Australia does not have a nationally consistent transition model for young people with intellectual disability leaving school and data is not collected at the national level to provide evidence of outcomes (Beamish</w:t>
      </w:r>
      <w:r w:rsidR="00E73F0B" w:rsidRPr="0027755B">
        <w:rPr>
          <w:rFonts w:asciiTheme="minorHAnsi" w:hAnsiTheme="minorHAnsi" w:cstheme="minorHAnsi"/>
          <w:szCs w:val="21"/>
        </w:rPr>
        <w:t xml:space="preserve"> et al.,</w:t>
      </w:r>
      <w:r w:rsidRPr="0027755B">
        <w:rPr>
          <w:rFonts w:asciiTheme="minorHAnsi" w:hAnsiTheme="minorHAnsi" w:cstheme="minorHAnsi"/>
          <w:szCs w:val="21"/>
        </w:rPr>
        <w:t xml:space="preserve"> 2012).  </w:t>
      </w:r>
    </w:p>
    <w:p w14:paraId="29F61C8F" w14:textId="6E3B0F8A" w:rsidR="000C7D2D" w:rsidRPr="0027755B" w:rsidRDefault="000C7D2D" w:rsidP="0027755B">
      <w:pPr>
        <w:snapToGrid w:val="0"/>
        <w:spacing w:line="276" w:lineRule="auto"/>
        <w:rPr>
          <w:rFonts w:asciiTheme="minorHAnsi" w:hAnsiTheme="minorHAnsi" w:cstheme="minorHAnsi"/>
          <w:szCs w:val="21"/>
        </w:rPr>
      </w:pPr>
      <w:r w:rsidRPr="0027755B">
        <w:rPr>
          <w:rFonts w:asciiTheme="minorHAnsi" w:hAnsiTheme="minorHAnsi" w:cstheme="minorHAnsi"/>
          <w:szCs w:val="21"/>
        </w:rPr>
        <w:t xml:space="preserve">People with intellectual disability typically experience poor quality, or a lack of, transition planning in moving from school into post school options which frequently results in uptake of segregated options such as day programs and Australian Disability Enterprises (or sheltered workshops in international contexts) (Wakeford &amp; Waugh, 2014; Baer </w:t>
      </w:r>
      <w:r w:rsidR="00B5001A" w:rsidRPr="0027755B">
        <w:rPr>
          <w:rFonts w:asciiTheme="minorHAnsi" w:hAnsiTheme="minorHAnsi" w:cstheme="minorHAnsi"/>
          <w:szCs w:val="21"/>
        </w:rPr>
        <w:t>et al.</w:t>
      </w:r>
      <w:r w:rsidRPr="0027755B">
        <w:rPr>
          <w:rFonts w:asciiTheme="minorHAnsi" w:hAnsiTheme="minorHAnsi" w:cstheme="minorHAnsi"/>
          <w:szCs w:val="21"/>
        </w:rPr>
        <w:t xml:space="preserve">, 2011; </w:t>
      </w:r>
      <w:proofErr w:type="spellStart"/>
      <w:r w:rsidRPr="0027755B">
        <w:rPr>
          <w:rFonts w:asciiTheme="minorHAnsi" w:hAnsiTheme="minorHAnsi" w:cstheme="minorHAnsi"/>
          <w:szCs w:val="21"/>
        </w:rPr>
        <w:t>Bouck</w:t>
      </w:r>
      <w:proofErr w:type="spellEnd"/>
      <w:r w:rsidRPr="0027755B">
        <w:rPr>
          <w:rFonts w:asciiTheme="minorHAnsi" w:hAnsiTheme="minorHAnsi" w:cstheme="minorHAnsi"/>
          <w:szCs w:val="21"/>
        </w:rPr>
        <w:t xml:space="preserve">, 2012; Foley et al., 2013). </w:t>
      </w:r>
    </w:p>
    <w:p w14:paraId="61B264F3" w14:textId="77777777" w:rsidR="000C7D2D" w:rsidRPr="0027755B" w:rsidRDefault="000C7D2D" w:rsidP="0027755B">
      <w:pPr>
        <w:snapToGrid w:val="0"/>
        <w:spacing w:line="276" w:lineRule="auto"/>
        <w:rPr>
          <w:rFonts w:asciiTheme="minorHAnsi" w:hAnsiTheme="minorHAnsi" w:cstheme="minorHAnsi"/>
          <w:szCs w:val="21"/>
        </w:rPr>
      </w:pPr>
      <w:r w:rsidRPr="0027755B">
        <w:rPr>
          <w:rFonts w:asciiTheme="minorHAnsi" w:hAnsiTheme="minorHAnsi" w:cstheme="minorHAnsi"/>
          <w:szCs w:val="21"/>
        </w:rPr>
        <w:t>Research in overseas settings suggests that despite ‘Employment first’ policies in some countries, such as the US, transition plans can lack a focus on employment.</w:t>
      </w:r>
    </w:p>
    <w:p w14:paraId="13D7B7AA" w14:textId="1F52931D" w:rsidR="000C7D2D" w:rsidRPr="0027755B" w:rsidRDefault="000C7D2D" w:rsidP="0027755B">
      <w:pPr>
        <w:tabs>
          <w:tab w:val="left" w:pos="180"/>
        </w:tabs>
        <w:snapToGrid w:val="0"/>
        <w:spacing w:line="276" w:lineRule="auto"/>
        <w:ind w:left="360" w:right="360"/>
        <w:rPr>
          <w:rFonts w:asciiTheme="minorHAnsi" w:hAnsiTheme="minorHAnsi" w:cstheme="minorHAnsi"/>
          <w:szCs w:val="21"/>
        </w:rPr>
      </w:pPr>
      <w:r w:rsidRPr="0027755B">
        <w:rPr>
          <w:rFonts w:asciiTheme="minorHAnsi" w:hAnsiTheme="minorHAnsi" w:cstheme="minorHAnsi"/>
          <w:szCs w:val="21"/>
        </w:rPr>
        <w:t xml:space="preserve">research indicates that individualized transition plans for students with I/DD [intellectual and developmental disability] focus more on functional skills for independence and building social relationships than on gaining employment or pursuing post-secondary education (Southward </w:t>
      </w:r>
      <w:r w:rsidR="00987E7F" w:rsidRPr="0027755B">
        <w:rPr>
          <w:rFonts w:asciiTheme="minorHAnsi" w:hAnsiTheme="minorHAnsi" w:cstheme="minorHAnsi"/>
          <w:szCs w:val="21"/>
        </w:rPr>
        <w:t>&amp;</w:t>
      </w:r>
      <w:r w:rsidRPr="0027755B">
        <w:rPr>
          <w:rFonts w:asciiTheme="minorHAnsi" w:hAnsiTheme="minorHAnsi" w:cstheme="minorHAnsi"/>
          <w:szCs w:val="21"/>
        </w:rPr>
        <w:t xml:space="preserve"> </w:t>
      </w:r>
      <w:proofErr w:type="spellStart"/>
      <w:r w:rsidRPr="0027755B">
        <w:rPr>
          <w:rFonts w:asciiTheme="minorHAnsi" w:hAnsiTheme="minorHAnsi" w:cstheme="minorHAnsi"/>
          <w:szCs w:val="21"/>
        </w:rPr>
        <w:t>Kyzar</w:t>
      </w:r>
      <w:proofErr w:type="spellEnd"/>
      <w:r w:rsidRPr="0027755B">
        <w:rPr>
          <w:rFonts w:asciiTheme="minorHAnsi" w:hAnsiTheme="minorHAnsi" w:cstheme="minorHAnsi"/>
          <w:szCs w:val="21"/>
        </w:rPr>
        <w:t>, 2017, p. 26)</w:t>
      </w:r>
      <w:r w:rsidR="00B00DBE">
        <w:rPr>
          <w:rFonts w:asciiTheme="minorHAnsi" w:hAnsiTheme="minorHAnsi" w:cstheme="minorHAnsi"/>
          <w:szCs w:val="21"/>
        </w:rPr>
        <w:t>.</w:t>
      </w:r>
    </w:p>
    <w:p w14:paraId="55ADB220" w14:textId="5A67870B" w:rsidR="000C7D2D" w:rsidRPr="0027755B" w:rsidRDefault="000C7D2D" w:rsidP="0027755B">
      <w:pPr>
        <w:snapToGrid w:val="0"/>
        <w:spacing w:line="276" w:lineRule="auto"/>
        <w:rPr>
          <w:rFonts w:asciiTheme="minorHAnsi" w:hAnsiTheme="minorHAnsi" w:cstheme="minorHAnsi"/>
          <w:szCs w:val="21"/>
        </w:rPr>
      </w:pPr>
      <w:r w:rsidRPr="0027755B">
        <w:rPr>
          <w:rFonts w:asciiTheme="minorHAnsi" w:hAnsiTheme="minorHAnsi" w:cstheme="minorHAnsi"/>
          <w:szCs w:val="21"/>
        </w:rPr>
        <w:t xml:space="preserve">The common experience of transition, especially in Australia, is one of a short term process accompanied by narrowly focused transition supports, frequently targeting transitioning into adult support services, with little consideration of the individual needs and aspirations of the person (Davies &amp; Beamish, 2009; </w:t>
      </w:r>
      <w:proofErr w:type="spellStart"/>
      <w:r w:rsidRPr="0027755B">
        <w:rPr>
          <w:rFonts w:asciiTheme="minorHAnsi" w:hAnsiTheme="minorHAnsi" w:cstheme="minorHAnsi"/>
          <w:szCs w:val="21"/>
        </w:rPr>
        <w:t>Redgrove</w:t>
      </w:r>
      <w:proofErr w:type="spellEnd"/>
      <w:r w:rsidR="00186B99" w:rsidRPr="0027755B">
        <w:rPr>
          <w:rFonts w:asciiTheme="minorHAnsi" w:hAnsiTheme="minorHAnsi" w:cstheme="minorHAnsi"/>
          <w:szCs w:val="21"/>
        </w:rPr>
        <w:t xml:space="preserve"> et al., </w:t>
      </w:r>
      <w:r w:rsidRPr="0027755B">
        <w:rPr>
          <w:rFonts w:asciiTheme="minorHAnsi" w:hAnsiTheme="minorHAnsi" w:cstheme="minorHAnsi"/>
          <w:szCs w:val="21"/>
        </w:rPr>
        <w:t>2016).</w:t>
      </w:r>
    </w:p>
    <w:p w14:paraId="03974667" w14:textId="238C3DFE" w:rsidR="000C7D2D" w:rsidRPr="0027755B" w:rsidRDefault="000C7D2D" w:rsidP="0027755B">
      <w:pPr>
        <w:snapToGrid w:val="0"/>
        <w:spacing w:line="276" w:lineRule="auto"/>
        <w:rPr>
          <w:rFonts w:asciiTheme="minorHAnsi" w:hAnsiTheme="minorHAnsi" w:cstheme="minorHAnsi"/>
          <w:szCs w:val="21"/>
        </w:rPr>
      </w:pPr>
      <w:r w:rsidRPr="0027755B">
        <w:rPr>
          <w:rFonts w:asciiTheme="minorHAnsi" w:hAnsiTheme="minorHAnsi" w:cstheme="minorHAnsi"/>
          <w:szCs w:val="21"/>
        </w:rPr>
        <w:lastRenderedPageBreak/>
        <w:t xml:space="preserve">Families have reported that commencing a transition focus in the last year of school is too late given the complexity of barriers young people with disability face when leaving school (Foley et al., 2013). Parents describe the time of finishing school as a </w:t>
      </w:r>
      <w:r w:rsidR="00942382" w:rsidRPr="0027755B">
        <w:rPr>
          <w:rFonts w:asciiTheme="minorHAnsi" w:hAnsiTheme="minorHAnsi" w:cstheme="minorHAnsi"/>
          <w:szCs w:val="21"/>
        </w:rPr>
        <w:t>“</w:t>
      </w:r>
      <w:r w:rsidRPr="0027755B">
        <w:rPr>
          <w:rFonts w:asciiTheme="minorHAnsi" w:hAnsiTheme="minorHAnsi" w:cstheme="minorHAnsi"/>
          <w:szCs w:val="21"/>
        </w:rPr>
        <w:t>cliff</w:t>
      </w:r>
      <w:r w:rsidR="00942382" w:rsidRPr="0027755B">
        <w:rPr>
          <w:rFonts w:asciiTheme="minorHAnsi" w:hAnsiTheme="minorHAnsi" w:cstheme="minorHAnsi"/>
          <w:szCs w:val="21"/>
        </w:rPr>
        <w:t>”</w:t>
      </w:r>
      <w:r w:rsidRPr="0027755B">
        <w:rPr>
          <w:rFonts w:asciiTheme="minorHAnsi" w:hAnsiTheme="minorHAnsi" w:cstheme="minorHAnsi"/>
          <w:szCs w:val="21"/>
        </w:rPr>
        <w:t xml:space="preserve"> (Davies &amp; Beamish, 2009, p.</w:t>
      </w:r>
      <w:r w:rsidR="00182DEB" w:rsidRPr="0027755B">
        <w:rPr>
          <w:rFonts w:asciiTheme="minorHAnsi" w:hAnsiTheme="minorHAnsi" w:cstheme="minorHAnsi"/>
          <w:szCs w:val="21"/>
        </w:rPr>
        <w:t xml:space="preserve"> </w:t>
      </w:r>
      <w:r w:rsidRPr="0027755B">
        <w:rPr>
          <w:rFonts w:asciiTheme="minorHAnsi" w:hAnsiTheme="minorHAnsi" w:cstheme="minorHAnsi"/>
          <w:szCs w:val="21"/>
        </w:rPr>
        <w:t xml:space="preserve">255), with little information provided about the options available to the young person which leads to short term decision making. </w:t>
      </w:r>
    </w:p>
    <w:p w14:paraId="5D74898D" w14:textId="77777777" w:rsidR="000C7D2D" w:rsidRPr="0027755B" w:rsidRDefault="000C7D2D" w:rsidP="0027755B">
      <w:pPr>
        <w:snapToGrid w:val="0"/>
        <w:spacing w:line="276" w:lineRule="auto"/>
        <w:rPr>
          <w:rFonts w:asciiTheme="minorHAnsi" w:hAnsiTheme="minorHAnsi" w:cstheme="minorHAnsi"/>
          <w:szCs w:val="21"/>
        </w:rPr>
      </w:pPr>
      <w:r w:rsidRPr="0027755B">
        <w:rPr>
          <w:rFonts w:asciiTheme="minorHAnsi" w:hAnsiTheme="minorHAnsi" w:cstheme="minorHAnsi"/>
          <w:szCs w:val="21"/>
        </w:rPr>
        <w:t>In Australia, the transition process is highly fragmented and siloed, with lack of - and barriers to - funding operating to discourage collaboration across services (ARTD Consultants, 2019; Davies &amp; Beamish, 2009).</w:t>
      </w:r>
    </w:p>
    <w:p w14:paraId="5ACDBF89" w14:textId="77777777" w:rsidR="000C7D2D" w:rsidRPr="003C71E7" w:rsidRDefault="000C7D2D" w:rsidP="00CE427B">
      <w:pPr>
        <w:pStyle w:val="Heading2"/>
        <w:spacing w:line="276" w:lineRule="auto"/>
      </w:pPr>
      <w:bookmarkStart w:id="69" w:name="_Toc49417904"/>
      <w:r>
        <w:t>The solution (what are the ingredients of effective transition?)</w:t>
      </w:r>
      <w:bookmarkEnd w:id="69"/>
    </w:p>
    <w:p w14:paraId="2239D864" w14:textId="0E7285AF" w:rsidR="000C7D2D" w:rsidRPr="0027755B" w:rsidRDefault="000C7D2D" w:rsidP="0027755B">
      <w:pPr>
        <w:snapToGrid w:val="0"/>
        <w:spacing w:line="276" w:lineRule="auto"/>
        <w:rPr>
          <w:rFonts w:asciiTheme="minorHAnsi" w:hAnsiTheme="minorHAnsi" w:cstheme="minorHAnsi"/>
          <w:szCs w:val="21"/>
        </w:rPr>
      </w:pPr>
      <w:r w:rsidRPr="0027755B">
        <w:rPr>
          <w:rFonts w:asciiTheme="minorHAnsi" w:hAnsiTheme="minorHAnsi" w:cstheme="minorHAnsi"/>
          <w:szCs w:val="21"/>
        </w:rPr>
        <w:t xml:space="preserve">Fortunately, transition has been the subject of a large amount of research, especially in the United States, and more recently in Australia (ARTD Consultants, 2019; Ashburner, </w:t>
      </w:r>
      <w:proofErr w:type="spellStart"/>
      <w:r w:rsidRPr="0027755B">
        <w:rPr>
          <w:rFonts w:asciiTheme="minorHAnsi" w:hAnsiTheme="minorHAnsi" w:cstheme="minorHAnsi"/>
          <w:szCs w:val="21"/>
        </w:rPr>
        <w:t>Bobir</w:t>
      </w:r>
      <w:proofErr w:type="spellEnd"/>
      <w:r w:rsidRPr="0027755B">
        <w:rPr>
          <w:rFonts w:asciiTheme="minorHAnsi" w:hAnsiTheme="minorHAnsi" w:cstheme="minorHAnsi"/>
          <w:szCs w:val="21"/>
        </w:rPr>
        <w:t xml:space="preserve">, &amp; van </w:t>
      </w:r>
      <w:proofErr w:type="spellStart"/>
      <w:r w:rsidRPr="0027755B">
        <w:rPr>
          <w:rFonts w:asciiTheme="minorHAnsi" w:hAnsiTheme="minorHAnsi" w:cstheme="minorHAnsi"/>
          <w:szCs w:val="21"/>
        </w:rPr>
        <w:t>Dooren</w:t>
      </w:r>
      <w:proofErr w:type="spellEnd"/>
      <w:r w:rsidRPr="0027755B">
        <w:rPr>
          <w:rFonts w:asciiTheme="minorHAnsi" w:hAnsiTheme="minorHAnsi" w:cstheme="minorHAnsi"/>
          <w:szCs w:val="21"/>
        </w:rPr>
        <w:t>, 2018; Baer et al., 2011; Davies &amp; Beamish, 2009; Kohler</w:t>
      </w:r>
      <w:r w:rsidR="0094633D" w:rsidRPr="0027755B">
        <w:rPr>
          <w:rFonts w:asciiTheme="minorHAnsi" w:hAnsiTheme="minorHAnsi" w:cstheme="minorHAnsi"/>
          <w:szCs w:val="21"/>
        </w:rPr>
        <w:t xml:space="preserve"> et al</w:t>
      </w:r>
      <w:r w:rsidR="00E82DEE" w:rsidRPr="0027755B">
        <w:rPr>
          <w:rFonts w:asciiTheme="minorHAnsi" w:hAnsiTheme="minorHAnsi" w:cstheme="minorHAnsi"/>
          <w:szCs w:val="21"/>
        </w:rPr>
        <w:t>.</w:t>
      </w:r>
      <w:r w:rsidRPr="0027755B">
        <w:rPr>
          <w:rFonts w:asciiTheme="minorHAnsi" w:hAnsiTheme="minorHAnsi" w:cstheme="minorHAnsi"/>
          <w:szCs w:val="21"/>
        </w:rPr>
        <w:t>, 2016; Kohler &amp; Field, 2003; Smith</w:t>
      </w:r>
      <w:r w:rsidR="0079188F" w:rsidRPr="0027755B">
        <w:rPr>
          <w:rFonts w:asciiTheme="minorHAnsi" w:hAnsiTheme="minorHAnsi" w:cstheme="minorHAnsi"/>
          <w:szCs w:val="21"/>
        </w:rPr>
        <w:t xml:space="preserve"> </w:t>
      </w:r>
      <w:r w:rsidRPr="0027755B">
        <w:rPr>
          <w:rFonts w:asciiTheme="minorHAnsi" w:hAnsiTheme="minorHAnsi" w:cstheme="minorHAnsi"/>
          <w:szCs w:val="21"/>
        </w:rPr>
        <w:t xml:space="preserve">et al., 2017). This research has established an evidence base of what works in transition. This research, now over three decades in longevity, shifts attention from short term ‘planning’ to a broader perspective </w:t>
      </w:r>
      <w:r w:rsidRPr="0027755B">
        <w:rPr>
          <w:rFonts w:asciiTheme="minorHAnsi" w:hAnsiTheme="minorHAnsi" w:cstheme="minorHAnsi"/>
          <w:color w:val="000000"/>
          <w:szCs w:val="21"/>
        </w:rPr>
        <w:t xml:space="preserve">referred to as </w:t>
      </w:r>
      <w:r w:rsidR="00145C82" w:rsidRPr="0027755B">
        <w:rPr>
          <w:rFonts w:asciiTheme="minorHAnsi" w:hAnsiTheme="minorHAnsi" w:cstheme="minorHAnsi"/>
          <w:color w:val="000000"/>
          <w:szCs w:val="21"/>
        </w:rPr>
        <w:t>“</w:t>
      </w:r>
      <w:r w:rsidRPr="0027755B">
        <w:rPr>
          <w:rFonts w:asciiTheme="minorHAnsi" w:hAnsiTheme="minorHAnsi" w:cstheme="minorHAnsi"/>
          <w:color w:val="000000"/>
          <w:szCs w:val="21"/>
        </w:rPr>
        <w:t>transition-focused education</w:t>
      </w:r>
      <w:r w:rsidR="0045283F" w:rsidRPr="0027755B">
        <w:rPr>
          <w:rFonts w:asciiTheme="minorHAnsi" w:hAnsiTheme="minorHAnsi" w:cstheme="minorHAnsi"/>
          <w:color w:val="000000"/>
          <w:szCs w:val="21"/>
        </w:rPr>
        <w:t xml:space="preserve"> </w:t>
      </w:r>
      <w:r w:rsidR="00655F4B" w:rsidRPr="0027755B">
        <w:rPr>
          <w:rFonts w:asciiTheme="minorHAnsi" w:hAnsiTheme="minorHAnsi" w:cstheme="minorHAnsi"/>
          <w:color w:val="000000"/>
          <w:szCs w:val="21"/>
        </w:rPr>
        <w:t xml:space="preserve">… </w:t>
      </w:r>
      <w:r w:rsidRPr="0027755B">
        <w:rPr>
          <w:rFonts w:asciiTheme="minorHAnsi" w:hAnsiTheme="minorHAnsi" w:cstheme="minorHAnsi"/>
          <w:color w:val="000000"/>
          <w:szCs w:val="21"/>
        </w:rPr>
        <w:t>which views transition planning not as an add-on activity</w:t>
      </w:r>
      <w:r w:rsidR="00B00DBE">
        <w:rPr>
          <w:rFonts w:asciiTheme="minorHAnsi" w:hAnsiTheme="minorHAnsi" w:cstheme="minorHAnsi"/>
          <w:color w:val="000000"/>
          <w:szCs w:val="21"/>
        </w:rPr>
        <w:t>”</w:t>
      </w:r>
      <w:r w:rsidRPr="0027755B">
        <w:rPr>
          <w:rFonts w:asciiTheme="minorHAnsi" w:hAnsiTheme="minorHAnsi" w:cstheme="minorHAnsi"/>
          <w:color w:val="000000"/>
          <w:szCs w:val="21"/>
        </w:rPr>
        <w:t xml:space="preserve"> but </w:t>
      </w:r>
      <w:r w:rsidRPr="0027755B">
        <w:rPr>
          <w:rFonts w:asciiTheme="minorHAnsi" w:hAnsiTheme="minorHAnsi" w:cstheme="minorHAnsi"/>
          <w:szCs w:val="21"/>
        </w:rPr>
        <w:t>underpinning education programs and extra curricula activities across multiple years</w:t>
      </w:r>
      <w:r w:rsidR="007A1E16" w:rsidRPr="0027755B">
        <w:rPr>
          <w:rFonts w:asciiTheme="minorHAnsi" w:hAnsiTheme="minorHAnsi" w:cstheme="minorHAnsi"/>
          <w:szCs w:val="21"/>
        </w:rPr>
        <w:t xml:space="preserve"> </w:t>
      </w:r>
      <w:r w:rsidR="007A1E16" w:rsidRPr="0027755B">
        <w:rPr>
          <w:rFonts w:asciiTheme="minorHAnsi" w:hAnsiTheme="minorHAnsi" w:cstheme="minorHAnsi"/>
          <w:color w:val="000000"/>
          <w:szCs w:val="21"/>
        </w:rPr>
        <w:t>(Kohler &amp; Field, 2003, p. 176)</w:t>
      </w:r>
      <w:r w:rsidRPr="0027755B">
        <w:rPr>
          <w:rFonts w:asciiTheme="minorHAnsi" w:hAnsiTheme="minorHAnsi" w:cstheme="minorHAnsi"/>
          <w:szCs w:val="21"/>
        </w:rPr>
        <w:t>.</w:t>
      </w:r>
    </w:p>
    <w:p w14:paraId="202F4434" w14:textId="77777777" w:rsidR="000C7D2D" w:rsidRPr="0027755B" w:rsidRDefault="000C7D2D" w:rsidP="0027755B">
      <w:pPr>
        <w:pStyle w:val="Default"/>
        <w:spacing w:before="120" w:line="276" w:lineRule="auto"/>
        <w:rPr>
          <w:rFonts w:asciiTheme="minorHAnsi" w:hAnsiTheme="minorHAnsi" w:cstheme="minorHAnsi"/>
          <w:sz w:val="21"/>
          <w:szCs w:val="21"/>
        </w:rPr>
      </w:pPr>
      <w:r w:rsidRPr="0027755B">
        <w:rPr>
          <w:rFonts w:asciiTheme="minorHAnsi" w:hAnsiTheme="minorHAnsi" w:cstheme="minorHAnsi"/>
          <w:sz w:val="21"/>
          <w:szCs w:val="21"/>
        </w:rPr>
        <w:t>Ingredients of an effective transition approach:</w:t>
      </w:r>
    </w:p>
    <w:p w14:paraId="50584A7E" w14:textId="77777777" w:rsidR="000C7D2D" w:rsidRPr="0027755B" w:rsidRDefault="000C7D2D" w:rsidP="0027755B">
      <w:pPr>
        <w:pStyle w:val="Default"/>
        <w:spacing w:before="120" w:line="276" w:lineRule="auto"/>
        <w:rPr>
          <w:rFonts w:asciiTheme="minorHAnsi" w:hAnsiTheme="minorHAnsi" w:cstheme="minorHAnsi"/>
          <w:sz w:val="21"/>
          <w:szCs w:val="21"/>
        </w:rPr>
      </w:pPr>
    </w:p>
    <w:tbl>
      <w:tblPr>
        <w:tblStyle w:val="TableGrid"/>
        <w:tblW w:w="9720" w:type="dxa"/>
        <w:tblInd w:w="-5" w:type="dxa"/>
        <w:tblLook w:val="04A0" w:firstRow="1" w:lastRow="0" w:firstColumn="1" w:lastColumn="0" w:noHBand="0" w:noVBand="1"/>
      </w:tblPr>
      <w:tblGrid>
        <w:gridCol w:w="2250"/>
        <w:gridCol w:w="7470"/>
      </w:tblGrid>
      <w:tr w:rsidR="000C7D2D" w:rsidRPr="0027755B" w14:paraId="60B688BA" w14:textId="77777777" w:rsidTr="00341F0F">
        <w:trPr>
          <w:trHeight w:val="338"/>
        </w:trPr>
        <w:tc>
          <w:tcPr>
            <w:tcW w:w="2250" w:type="dxa"/>
          </w:tcPr>
          <w:p w14:paraId="662EA82D" w14:textId="77777777" w:rsidR="000C7D2D" w:rsidRPr="0027755B" w:rsidRDefault="000C7D2D" w:rsidP="0027755B">
            <w:pPr>
              <w:snapToGrid w:val="0"/>
              <w:spacing w:line="276" w:lineRule="auto"/>
              <w:rPr>
                <w:rFonts w:asciiTheme="minorHAnsi" w:hAnsiTheme="minorHAnsi" w:cstheme="minorHAnsi"/>
                <w:szCs w:val="21"/>
              </w:rPr>
            </w:pPr>
            <w:r w:rsidRPr="0027755B">
              <w:rPr>
                <w:rFonts w:asciiTheme="minorHAnsi" w:hAnsiTheme="minorHAnsi" w:cstheme="minorHAnsi"/>
                <w:szCs w:val="21"/>
              </w:rPr>
              <w:t>Self determination</w:t>
            </w:r>
          </w:p>
        </w:tc>
        <w:tc>
          <w:tcPr>
            <w:tcW w:w="7470" w:type="dxa"/>
          </w:tcPr>
          <w:p w14:paraId="26F6AF79" w14:textId="7A63B0D8" w:rsidR="000C7D2D" w:rsidRPr="0027755B" w:rsidRDefault="000C7D2D" w:rsidP="0027755B">
            <w:pPr>
              <w:autoSpaceDE w:val="0"/>
              <w:autoSpaceDN w:val="0"/>
              <w:adjustRightInd w:val="0"/>
              <w:spacing w:line="276" w:lineRule="auto"/>
              <w:rPr>
                <w:rFonts w:asciiTheme="minorHAnsi" w:hAnsiTheme="minorHAnsi" w:cstheme="minorHAnsi"/>
                <w:color w:val="000000"/>
                <w:szCs w:val="21"/>
              </w:rPr>
            </w:pPr>
            <w:r w:rsidRPr="0027755B">
              <w:rPr>
                <w:rFonts w:asciiTheme="minorHAnsi" w:hAnsiTheme="minorHAnsi" w:cstheme="minorHAnsi"/>
                <w:color w:val="000000"/>
                <w:szCs w:val="21"/>
              </w:rPr>
              <w:t xml:space="preserve">A focus on self-determination, </w:t>
            </w:r>
            <w:r w:rsidR="00FE5736" w:rsidRPr="0027755B">
              <w:rPr>
                <w:rFonts w:asciiTheme="minorHAnsi" w:hAnsiTheme="minorHAnsi" w:cstheme="minorHAnsi"/>
                <w:color w:val="000000"/>
                <w:szCs w:val="21"/>
              </w:rPr>
              <w:t>“</w:t>
            </w:r>
            <w:r w:rsidRPr="0027755B">
              <w:rPr>
                <w:rFonts w:asciiTheme="minorHAnsi" w:hAnsiTheme="minorHAnsi" w:cstheme="minorHAnsi"/>
                <w:color w:val="000000"/>
                <w:szCs w:val="21"/>
              </w:rPr>
              <w:t xml:space="preserve">i.e. </w:t>
            </w:r>
            <w:r w:rsidRPr="0027755B">
              <w:rPr>
                <w:rFonts w:asciiTheme="minorHAnsi" w:hAnsiTheme="minorHAnsi" w:cstheme="minorHAnsi"/>
                <w:szCs w:val="21"/>
              </w:rPr>
              <w:t xml:space="preserve">engaging in goal-directed, self-regulated, autonomous </w:t>
            </w:r>
            <w:proofErr w:type="spellStart"/>
            <w:r w:rsidRPr="0027755B">
              <w:rPr>
                <w:rFonts w:asciiTheme="minorHAnsi" w:hAnsiTheme="minorHAnsi" w:cstheme="minorHAnsi"/>
                <w:szCs w:val="21"/>
              </w:rPr>
              <w:t>behaviour</w:t>
            </w:r>
            <w:proofErr w:type="spellEnd"/>
            <w:r w:rsidRPr="0027755B">
              <w:rPr>
                <w:rFonts w:asciiTheme="minorHAnsi" w:hAnsiTheme="minorHAnsi" w:cstheme="minorHAnsi"/>
                <w:szCs w:val="21"/>
              </w:rPr>
              <w:t xml:space="preserve"> or the involvement of students in transition goal-setting activities</w:t>
            </w:r>
            <w:r w:rsidR="00FE5736" w:rsidRPr="0027755B">
              <w:rPr>
                <w:rFonts w:asciiTheme="minorHAnsi" w:hAnsiTheme="minorHAnsi" w:cstheme="minorHAnsi"/>
                <w:szCs w:val="21"/>
              </w:rPr>
              <w:t>”</w:t>
            </w:r>
            <w:r w:rsidRPr="0027755B">
              <w:rPr>
                <w:rFonts w:asciiTheme="minorHAnsi" w:hAnsiTheme="minorHAnsi" w:cstheme="minorHAnsi"/>
                <w:szCs w:val="21"/>
              </w:rPr>
              <w:t xml:space="preserve"> (Davies &amp; Beamish, 2009, p.</w:t>
            </w:r>
            <w:r w:rsidR="00182DEB" w:rsidRPr="0027755B">
              <w:rPr>
                <w:rFonts w:asciiTheme="minorHAnsi" w:hAnsiTheme="minorHAnsi" w:cstheme="minorHAnsi"/>
                <w:szCs w:val="21"/>
              </w:rPr>
              <w:t xml:space="preserve"> </w:t>
            </w:r>
            <w:r w:rsidRPr="0027755B">
              <w:rPr>
                <w:rFonts w:asciiTheme="minorHAnsi" w:hAnsiTheme="minorHAnsi" w:cstheme="minorHAnsi"/>
                <w:szCs w:val="21"/>
              </w:rPr>
              <w:t xml:space="preserve">255) </w:t>
            </w:r>
            <w:r w:rsidRPr="0027755B">
              <w:rPr>
                <w:rFonts w:asciiTheme="minorHAnsi" w:hAnsiTheme="minorHAnsi" w:cstheme="minorHAnsi"/>
                <w:color w:val="000000"/>
                <w:szCs w:val="21"/>
              </w:rPr>
              <w:t>is critical (</w:t>
            </w:r>
            <w:proofErr w:type="spellStart"/>
            <w:r w:rsidRPr="0027755B">
              <w:rPr>
                <w:rFonts w:asciiTheme="minorHAnsi" w:hAnsiTheme="minorHAnsi" w:cstheme="minorHAnsi"/>
                <w:color w:val="000000"/>
                <w:szCs w:val="21"/>
              </w:rPr>
              <w:t>Papay</w:t>
            </w:r>
            <w:proofErr w:type="spellEnd"/>
            <w:r w:rsidRPr="0027755B">
              <w:rPr>
                <w:rFonts w:asciiTheme="minorHAnsi" w:hAnsiTheme="minorHAnsi" w:cstheme="minorHAnsi"/>
                <w:color w:val="000000"/>
                <w:szCs w:val="21"/>
              </w:rPr>
              <w:t xml:space="preserve"> &amp; Bamb</w:t>
            </w:r>
            <w:r w:rsidR="00C66460" w:rsidRPr="0027755B">
              <w:rPr>
                <w:rFonts w:asciiTheme="minorHAnsi" w:hAnsiTheme="minorHAnsi" w:cstheme="minorHAnsi"/>
                <w:color w:val="000000"/>
                <w:szCs w:val="21"/>
              </w:rPr>
              <w:t>a</w:t>
            </w:r>
            <w:r w:rsidRPr="0027755B">
              <w:rPr>
                <w:rFonts w:asciiTheme="minorHAnsi" w:hAnsiTheme="minorHAnsi" w:cstheme="minorHAnsi"/>
                <w:color w:val="000000"/>
                <w:szCs w:val="21"/>
              </w:rPr>
              <w:t xml:space="preserve">ra, 2014). Within a transition context, this might include teaching self-determination skills and </w:t>
            </w:r>
            <w:proofErr w:type="spellStart"/>
            <w:r w:rsidRPr="0027755B">
              <w:rPr>
                <w:rFonts w:asciiTheme="minorHAnsi" w:hAnsiTheme="minorHAnsi" w:cstheme="minorHAnsi"/>
                <w:color w:val="000000"/>
                <w:szCs w:val="21"/>
              </w:rPr>
              <w:t>behaviours</w:t>
            </w:r>
            <w:proofErr w:type="spellEnd"/>
            <w:r w:rsidRPr="0027755B">
              <w:rPr>
                <w:rFonts w:asciiTheme="minorHAnsi" w:hAnsiTheme="minorHAnsi" w:cstheme="minorHAnsi"/>
                <w:color w:val="000000"/>
                <w:szCs w:val="21"/>
              </w:rPr>
              <w:t xml:space="preserve"> as part of transition (Davies &amp; Beamish, 2009).</w:t>
            </w:r>
          </w:p>
        </w:tc>
      </w:tr>
      <w:tr w:rsidR="000C7D2D" w:rsidRPr="0027755B" w14:paraId="104C052A" w14:textId="77777777" w:rsidTr="00341F0F">
        <w:trPr>
          <w:trHeight w:val="338"/>
        </w:trPr>
        <w:tc>
          <w:tcPr>
            <w:tcW w:w="2250" w:type="dxa"/>
          </w:tcPr>
          <w:p w14:paraId="55A82441" w14:textId="77777777" w:rsidR="000C7D2D" w:rsidRPr="0027755B" w:rsidRDefault="000C7D2D" w:rsidP="0027755B">
            <w:pPr>
              <w:snapToGrid w:val="0"/>
              <w:spacing w:line="276" w:lineRule="auto"/>
              <w:rPr>
                <w:rFonts w:asciiTheme="minorHAnsi" w:hAnsiTheme="minorHAnsi" w:cstheme="minorHAnsi"/>
                <w:szCs w:val="21"/>
              </w:rPr>
            </w:pPr>
            <w:r w:rsidRPr="0027755B">
              <w:rPr>
                <w:rFonts w:asciiTheme="minorHAnsi" w:hAnsiTheme="minorHAnsi" w:cstheme="minorHAnsi"/>
                <w:szCs w:val="21"/>
              </w:rPr>
              <w:t>Clear expectations</w:t>
            </w:r>
          </w:p>
        </w:tc>
        <w:tc>
          <w:tcPr>
            <w:tcW w:w="7470" w:type="dxa"/>
          </w:tcPr>
          <w:p w14:paraId="2E83C5E7" w14:textId="5A7F44CB" w:rsidR="000C7D2D" w:rsidRPr="0027755B" w:rsidRDefault="000C7D2D" w:rsidP="0027755B">
            <w:pPr>
              <w:autoSpaceDE w:val="0"/>
              <w:autoSpaceDN w:val="0"/>
              <w:adjustRightInd w:val="0"/>
              <w:spacing w:line="276" w:lineRule="auto"/>
              <w:rPr>
                <w:rFonts w:asciiTheme="minorHAnsi" w:hAnsiTheme="minorHAnsi" w:cstheme="minorHAnsi"/>
                <w:color w:val="000000"/>
                <w:szCs w:val="21"/>
              </w:rPr>
            </w:pPr>
            <w:r w:rsidRPr="0027755B">
              <w:rPr>
                <w:rFonts w:asciiTheme="minorHAnsi" w:hAnsiTheme="minorHAnsi" w:cstheme="minorHAnsi"/>
                <w:color w:val="000000"/>
                <w:szCs w:val="21"/>
              </w:rPr>
              <w:t>A core element of an effective transition approach is the expectation that young people can work (ARTD Consultants, 2019)</w:t>
            </w:r>
            <w:r w:rsidR="00C24377" w:rsidRPr="0027755B">
              <w:rPr>
                <w:rFonts w:asciiTheme="minorHAnsi" w:hAnsiTheme="minorHAnsi" w:cstheme="minorHAnsi"/>
                <w:color w:val="000000"/>
                <w:szCs w:val="21"/>
              </w:rPr>
              <w:t>.</w:t>
            </w:r>
          </w:p>
        </w:tc>
      </w:tr>
      <w:tr w:rsidR="000C7D2D" w:rsidRPr="0027755B" w14:paraId="763276F1" w14:textId="77777777" w:rsidTr="00341F0F">
        <w:trPr>
          <w:trHeight w:val="338"/>
        </w:trPr>
        <w:tc>
          <w:tcPr>
            <w:tcW w:w="2250" w:type="dxa"/>
          </w:tcPr>
          <w:p w14:paraId="4F6ED25B" w14:textId="77777777" w:rsidR="000C7D2D" w:rsidRPr="0027755B" w:rsidRDefault="000C7D2D" w:rsidP="0027755B">
            <w:pPr>
              <w:snapToGrid w:val="0"/>
              <w:spacing w:line="276" w:lineRule="auto"/>
              <w:rPr>
                <w:rFonts w:asciiTheme="minorHAnsi" w:hAnsiTheme="minorHAnsi" w:cstheme="minorHAnsi"/>
                <w:szCs w:val="21"/>
              </w:rPr>
            </w:pPr>
            <w:r w:rsidRPr="0027755B">
              <w:rPr>
                <w:rFonts w:asciiTheme="minorHAnsi" w:hAnsiTheme="minorHAnsi" w:cstheme="minorHAnsi"/>
                <w:szCs w:val="21"/>
              </w:rPr>
              <w:t xml:space="preserve">Family </w:t>
            </w:r>
            <w:proofErr w:type="spellStart"/>
            <w:r w:rsidRPr="0027755B">
              <w:rPr>
                <w:rFonts w:asciiTheme="minorHAnsi" w:hAnsiTheme="minorHAnsi" w:cstheme="minorHAnsi"/>
                <w:szCs w:val="21"/>
              </w:rPr>
              <w:t>centred</w:t>
            </w:r>
            <w:proofErr w:type="spellEnd"/>
          </w:p>
        </w:tc>
        <w:tc>
          <w:tcPr>
            <w:tcW w:w="7470" w:type="dxa"/>
          </w:tcPr>
          <w:p w14:paraId="6988CC71" w14:textId="66114EB4" w:rsidR="000C7D2D" w:rsidRPr="0027755B" w:rsidRDefault="000C7D2D" w:rsidP="0027755B">
            <w:pPr>
              <w:autoSpaceDE w:val="0"/>
              <w:autoSpaceDN w:val="0"/>
              <w:adjustRightInd w:val="0"/>
              <w:spacing w:line="276" w:lineRule="auto"/>
              <w:rPr>
                <w:rFonts w:asciiTheme="minorHAnsi" w:hAnsiTheme="minorHAnsi" w:cstheme="minorHAnsi"/>
                <w:color w:val="000000"/>
                <w:szCs w:val="21"/>
              </w:rPr>
            </w:pPr>
            <w:r w:rsidRPr="0027755B">
              <w:rPr>
                <w:rFonts w:asciiTheme="minorHAnsi" w:hAnsiTheme="minorHAnsi" w:cstheme="minorHAnsi"/>
                <w:color w:val="000000"/>
                <w:szCs w:val="21"/>
              </w:rPr>
              <w:t>Family involvement in transition planning is considered best practice (</w:t>
            </w:r>
            <w:proofErr w:type="spellStart"/>
            <w:r w:rsidRPr="0027755B">
              <w:rPr>
                <w:rFonts w:asciiTheme="minorHAnsi" w:hAnsiTheme="minorHAnsi" w:cstheme="minorHAnsi"/>
                <w:color w:val="000000"/>
                <w:szCs w:val="21"/>
              </w:rPr>
              <w:t>Papay</w:t>
            </w:r>
            <w:proofErr w:type="spellEnd"/>
            <w:r w:rsidRPr="0027755B">
              <w:rPr>
                <w:rFonts w:asciiTheme="minorHAnsi" w:hAnsiTheme="minorHAnsi" w:cstheme="minorHAnsi"/>
                <w:color w:val="000000"/>
                <w:szCs w:val="21"/>
              </w:rPr>
              <w:t xml:space="preserve"> &amp; Bamb</w:t>
            </w:r>
            <w:r w:rsidR="00C66460" w:rsidRPr="0027755B">
              <w:rPr>
                <w:rFonts w:asciiTheme="minorHAnsi" w:hAnsiTheme="minorHAnsi" w:cstheme="minorHAnsi"/>
                <w:color w:val="000000"/>
                <w:szCs w:val="21"/>
              </w:rPr>
              <w:t>a</w:t>
            </w:r>
            <w:r w:rsidRPr="0027755B">
              <w:rPr>
                <w:rFonts w:asciiTheme="minorHAnsi" w:hAnsiTheme="minorHAnsi" w:cstheme="minorHAnsi"/>
                <w:color w:val="000000"/>
                <w:szCs w:val="21"/>
              </w:rPr>
              <w:t>ra, 2014). Family-</w:t>
            </w:r>
            <w:proofErr w:type="spellStart"/>
            <w:r w:rsidRPr="0027755B">
              <w:rPr>
                <w:rFonts w:asciiTheme="minorHAnsi" w:hAnsiTheme="minorHAnsi" w:cstheme="minorHAnsi"/>
                <w:color w:val="000000"/>
                <w:szCs w:val="21"/>
              </w:rPr>
              <w:t>centred</w:t>
            </w:r>
            <w:proofErr w:type="spellEnd"/>
            <w:r w:rsidRPr="0027755B">
              <w:rPr>
                <w:rFonts w:asciiTheme="minorHAnsi" w:hAnsiTheme="minorHAnsi" w:cstheme="minorHAnsi"/>
                <w:color w:val="000000"/>
                <w:szCs w:val="21"/>
              </w:rPr>
              <w:t xml:space="preserve"> transition planning processes help to increase student and parent expectations for the future, self-determination, and vocational decision making amongst young people with disability (Sheppard</w:t>
            </w:r>
            <w:r w:rsidR="00A61C12" w:rsidRPr="0027755B">
              <w:rPr>
                <w:rFonts w:asciiTheme="minorHAnsi" w:hAnsiTheme="minorHAnsi" w:cstheme="minorHAnsi"/>
                <w:color w:val="000000"/>
                <w:szCs w:val="21"/>
              </w:rPr>
              <w:t xml:space="preserve"> et al.</w:t>
            </w:r>
            <w:r w:rsidRPr="0027755B">
              <w:rPr>
                <w:rFonts w:asciiTheme="minorHAnsi" w:hAnsiTheme="minorHAnsi" w:cstheme="minorHAnsi"/>
                <w:color w:val="000000"/>
                <w:szCs w:val="21"/>
              </w:rPr>
              <w:t>, 2017). Parent engagement should include:</w:t>
            </w:r>
          </w:p>
          <w:p w14:paraId="4017EDA8" w14:textId="77777777" w:rsidR="000C7D2D" w:rsidRPr="0027755B" w:rsidRDefault="000C7D2D" w:rsidP="0027755B">
            <w:pPr>
              <w:pStyle w:val="ListParagraph"/>
              <w:numPr>
                <w:ilvl w:val="0"/>
                <w:numId w:val="20"/>
              </w:numPr>
              <w:autoSpaceDE w:val="0"/>
              <w:autoSpaceDN w:val="0"/>
              <w:adjustRightInd w:val="0"/>
              <w:spacing w:line="276" w:lineRule="auto"/>
              <w:rPr>
                <w:rFonts w:asciiTheme="minorHAnsi" w:hAnsiTheme="minorHAnsi" w:cstheme="minorHAnsi"/>
                <w:color w:val="000000"/>
                <w:szCs w:val="21"/>
              </w:rPr>
            </w:pPr>
            <w:r w:rsidRPr="0027755B">
              <w:rPr>
                <w:rFonts w:asciiTheme="minorHAnsi" w:hAnsiTheme="minorHAnsi" w:cstheme="minorHAnsi"/>
                <w:color w:val="000000"/>
                <w:szCs w:val="21"/>
              </w:rPr>
              <w:t>engagement in training opportunities and information sessions at school about post-school and community-based services</w:t>
            </w:r>
          </w:p>
          <w:p w14:paraId="7105215E" w14:textId="77777777" w:rsidR="000C7D2D" w:rsidRPr="0027755B" w:rsidRDefault="000C7D2D" w:rsidP="0027755B">
            <w:pPr>
              <w:pStyle w:val="ListParagraph"/>
              <w:numPr>
                <w:ilvl w:val="0"/>
                <w:numId w:val="20"/>
              </w:numPr>
              <w:autoSpaceDE w:val="0"/>
              <w:autoSpaceDN w:val="0"/>
              <w:adjustRightInd w:val="0"/>
              <w:spacing w:line="276" w:lineRule="auto"/>
              <w:rPr>
                <w:rFonts w:asciiTheme="minorHAnsi" w:hAnsiTheme="minorHAnsi" w:cstheme="minorHAnsi"/>
                <w:color w:val="000000"/>
                <w:szCs w:val="21"/>
              </w:rPr>
            </w:pPr>
            <w:r w:rsidRPr="0027755B">
              <w:rPr>
                <w:rFonts w:asciiTheme="minorHAnsi" w:hAnsiTheme="minorHAnsi" w:cstheme="minorHAnsi"/>
                <w:color w:val="000000"/>
                <w:szCs w:val="21"/>
              </w:rPr>
              <w:t xml:space="preserve">introductions to employment services </w:t>
            </w:r>
          </w:p>
          <w:p w14:paraId="6CDDFD18" w14:textId="77777777" w:rsidR="000C7D2D" w:rsidRPr="0027755B" w:rsidRDefault="000C7D2D" w:rsidP="0027755B">
            <w:pPr>
              <w:pStyle w:val="ListParagraph"/>
              <w:numPr>
                <w:ilvl w:val="0"/>
                <w:numId w:val="20"/>
              </w:numPr>
              <w:autoSpaceDE w:val="0"/>
              <w:autoSpaceDN w:val="0"/>
              <w:adjustRightInd w:val="0"/>
              <w:spacing w:line="276" w:lineRule="auto"/>
              <w:rPr>
                <w:rFonts w:asciiTheme="minorHAnsi" w:hAnsiTheme="minorHAnsi" w:cstheme="minorHAnsi"/>
                <w:color w:val="000000"/>
                <w:szCs w:val="21"/>
              </w:rPr>
            </w:pPr>
            <w:r w:rsidRPr="0027755B">
              <w:rPr>
                <w:rFonts w:asciiTheme="minorHAnsi" w:hAnsiTheme="minorHAnsi" w:cstheme="minorHAnsi"/>
                <w:color w:val="000000"/>
                <w:szCs w:val="21"/>
              </w:rPr>
              <w:t>family visits to adult service agencies</w:t>
            </w:r>
          </w:p>
          <w:p w14:paraId="1B437BEE" w14:textId="77777777" w:rsidR="000C7D2D" w:rsidRPr="0027755B" w:rsidRDefault="000C7D2D" w:rsidP="0027755B">
            <w:pPr>
              <w:pStyle w:val="ListParagraph"/>
              <w:numPr>
                <w:ilvl w:val="0"/>
                <w:numId w:val="20"/>
              </w:numPr>
              <w:autoSpaceDE w:val="0"/>
              <w:autoSpaceDN w:val="0"/>
              <w:adjustRightInd w:val="0"/>
              <w:spacing w:line="276" w:lineRule="auto"/>
              <w:rPr>
                <w:rFonts w:asciiTheme="minorHAnsi" w:hAnsiTheme="minorHAnsi" w:cstheme="minorHAnsi"/>
                <w:color w:val="000000"/>
                <w:szCs w:val="21"/>
              </w:rPr>
            </w:pPr>
            <w:r w:rsidRPr="0027755B">
              <w:rPr>
                <w:rFonts w:asciiTheme="minorHAnsi" w:hAnsiTheme="minorHAnsi" w:cstheme="minorHAnsi"/>
                <w:color w:val="000000"/>
                <w:szCs w:val="21"/>
              </w:rPr>
              <w:t>exploring role models who can provide a vision to the young person and their family of what adult life might be like</w:t>
            </w:r>
          </w:p>
          <w:p w14:paraId="06F616D5" w14:textId="77777777" w:rsidR="000C7D2D" w:rsidRPr="0027755B" w:rsidRDefault="000C7D2D" w:rsidP="0027755B">
            <w:pPr>
              <w:pStyle w:val="ListParagraph"/>
              <w:numPr>
                <w:ilvl w:val="0"/>
                <w:numId w:val="20"/>
              </w:numPr>
              <w:autoSpaceDE w:val="0"/>
              <w:autoSpaceDN w:val="0"/>
              <w:adjustRightInd w:val="0"/>
              <w:spacing w:line="276" w:lineRule="auto"/>
              <w:rPr>
                <w:rFonts w:asciiTheme="minorHAnsi" w:hAnsiTheme="minorHAnsi" w:cstheme="minorHAnsi"/>
                <w:color w:val="000000"/>
                <w:szCs w:val="21"/>
              </w:rPr>
            </w:pPr>
            <w:r w:rsidRPr="0027755B">
              <w:rPr>
                <w:rFonts w:asciiTheme="minorHAnsi" w:hAnsiTheme="minorHAnsi" w:cstheme="minorHAnsi"/>
                <w:color w:val="000000"/>
                <w:szCs w:val="21"/>
              </w:rPr>
              <w:t>being part of family support groups focused on transition to adulthood issues, including seeking and finding employment</w:t>
            </w:r>
          </w:p>
          <w:p w14:paraId="29D693CA" w14:textId="77777777" w:rsidR="000C7D2D" w:rsidRPr="0027755B" w:rsidRDefault="000C7D2D" w:rsidP="0027755B">
            <w:pPr>
              <w:pStyle w:val="ListParagraph"/>
              <w:numPr>
                <w:ilvl w:val="0"/>
                <w:numId w:val="20"/>
              </w:numPr>
              <w:autoSpaceDE w:val="0"/>
              <w:autoSpaceDN w:val="0"/>
              <w:adjustRightInd w:val="0"/>
              <w:spacing w:line="276" w:lineRule="auto"/>
              <w:rPr>
                <w:rFonts w:asciiTheme="minorHAnsi" w:hAnsiTheme="minorHAnsi" w:cstheme="minorHAnsi"/>
                <w:color w:val="000000"/>
                <w:szCs w:val="21"/>
              </w:rPr>
            </w:pPr>
            <w:r w:rsidRPr="0027755B">
              <w:rPr>
                <w:rFonts w:asciiTheme="minorHAnsi" w:hAnsiTheme="minorHAnsi" w:cstheme="minorHAnsi"/>
                <w:color w:val="000000"/>
                <w:szCs w:val="21"/>
              </w:rPr>
              <w:t>actively building networks in the community</w:t>
            </w:r>
          </w:p>
          <w:p w14:paraId="27F07EE1" w14:textId="77777777" w:rsidR="000C7D2D" w:rsidRPr="0027755B" w:rsidRDefault="000C7D2D" w:rsidP="0027755B">
            <w:pPr>
              <w:pStyle w:val="ListParagraph"/>
              <w:numPr>
                <w:ilvl w:val="0"/>
                <w:numId w:val="20"/>
              </w:numPr>
              <w:autoSpaceDE w:val="0"/>
              <w:autoSpaceDN w:val="0"/>
              <w:adjustRightInd w:val="0"/>
              <w:spacing w:line="276" w:lineRule="auto"/>
              <w:rPr>
                <w:rFonts w:asciiTheme="minorHAnsi" w:hAnsiTheme="minorHAnsi" w:cstheme="minorHAnsi"/>
                <w:color w:val="000000"/>
                <w:szCs w:val="21"/>
              </w:rPr>
            </w:pPr>
            <w:r w:rsidRPr="0027755B">
              <w:rPr>
                <w:rFonts w:asciiTheme="minorHAnsi" w:hAnsiTheme="minorHAnsi" w:cstheme="minorHAnsi"/>
                <w:color w:val="000000"/>
                <w:szCs w:val="21"/>
              </w:rPr>
              <w:t>actively supporting the young person’s growing independence over time</w:t>
            </w:r>
          </w:p>
          <w:p w14:paraId="5040570D" w14:textId="0E0D196C" w:rsidR="000C7D2D" w:rsidRPr="0027755B" w:rsidRDefault="000C7D2D" w:rsidP="0027755B">
            <w:pPr>
              <w:pStyle w:val="ListParagraph"/>
              <w:numPr>
                <w:ilvl w:val="0"/>
                <w:numId w:val="20"/>
              </w:numPr>
              <w:autoSpaceDE w:val="0"/>
              <w:autoSpaceDN w:val="0"/>
              <w:adjustRightInd w:val="0"/>
              <w:spacing w:line="276" w:lineRule="auto"/>
              <w:rPr>
                <w:rFonts w:asciiTheme="minorHAnsi" w:hAnsiTheme="minorHAnsi" w:cstheme="minorHAnsi"/>
                <w:color w:val="000000"/>
                <w:szCs w:val="21"/>
              </w:rPr>
            </w:pPr>
            <w:r w:rsidRPr="0027755B">
              <w:rPr>
                <w:rFonts w:asciiTheme="minorHAnsi" w:hAnsiTheme="minorHAnsi" w:cstheme="minorHAnsi"/>
                <w:color w:val="000000"/>
                <w:szCs w:val="21"/>
              </w:rPr>
              <w:t>engagement in supporting students in domains of life beyond work such as recreation and leisure, continued education and community participation (Sheppard</w:t>
            </w:r>
            <w:r w:rsidR="00A61C12" w:rsidRPr="0027755B">
              <w:rPr>
                <w:rFonts w:asciiTheme="minorHAnsi" w:hAnsiTheme="minorHAnsi" w:cstheme="minorHAnsi"/>
                <w:color w:val="000000"/>
                <w:szCs w:val="21"/>
              </w:rPr>
              <w:t xml:space="preserve"> et al</w:t>
            </w:r>
            <w:r w:rsidRPr="0027755B">
              <w:rPr>
                <w:rFonts w:asciiTheme="minorHAnsi" w:hAnsiTheme="minorHAnsi" w:cstheme="minorHAnsi"/>
                <w:color w:val="000000"/>
                <w:szCs w:val="21"/>
              </w:rPr>
              <w:t>, 2017).</w:t>
            </w:r>
          </w:p>
          <w:p w14:paraId="1080AED8" w14:textId="7E1EBB9C" w:rsidR="000C7D2D" w:rsidRPr="0027755B" w:rsidRDefault="000C7D2D" w:rsidP="0027755B">
            <w:pPr>
              <w:autoSpaceDE w:val="0"/>
              <w:autoSpaceDN w:val="0"/>
              <w:adjustRightInd w:val="0"/>
              <w:spacing w:line="276" w:lineRule="auto"/>
              <w:rPr>
                <w:rFonts w:asciiTheme="minorHAnsi" w:hAnsiTheme="minorHAnsi" w:cstheme="minorHAnsi"/>
                <w:color w:val="000000"/>
                <w:szCs w:val="21"/>
              </w:rPr>
            </w:pPr>
            <w:r w:rsidRPr="0027755B">
              <w:rPr>
                <w:rFonts w:asciiTheme="minorHAnsi" w:hAnsiTheme="minorHAnsi" w:cstheme="minorHAnsi"/>
                <w:color w:val="000000"/>
                <w:szCs w:val="21"/>
              </w:rPr>
              <w:lastRenderedPageBreak/>
              <w:t xml:space="preserve">Young people with intellectual disability whose parents and families expect them to be employed upon completing school are significantly more likely to be employed, with one study finding this to be 58 times more likely (Southward &amp; </w:t>
            </w:r>
            <w:proofErr w:type="spellStart"/>
            <w:r w:rsidRPr="0027755B">
              <w:rPr>
                <w:rFonts w:asciiTheme="minorHAnsi" w:hAnsiTheme="minorHAnsi" w:cstheme="minorHAnsi"/>
                <w:color w:val="000000"/>
                <w:szCs w:val="21"/>
              </w:rPr>
              <w:t>Kyzar</w:t>
            </w:r>
            <w:proofErr w:type="spellEnd"/>
            <w:r w:rsidRPr="0027755B">
              <w:rPr>
                <w:rFonts w:asciiTheme="minorHAnsi" w:hAnsiTheme="minorHAnsi" w:cstheme="minorHAnsi"/>
                <w:color w:val="000000"/>
                <w:szCs w:val="21"/>
              </w:rPr>
              <w:t xml:space="preserve">, 2017). </w:t>
            </w:r>
          </w:p>
          <w:p w14:paraId="33C06013" w14:textId="77777777" w:rsidR="000C7D2D" w:rsidRPr="0027755B" w:rsidRDefault="000C7D2D" w:rsidP="0027755B">
            <w:pPr>
              <w:autoSpaceDE w:val="0"/>
              <w:autoSpaceDN w:val="0"/>
              <w:adjustRightInd w:val="0"/>
              <w:spacing w:line="276" w:lineRule="auto"/>
              <w:rPr>
                <w:rFonts w:asciiTheme="minorHAnsi" w:hAnsiTheme="minorHAnsi" w:cstheme="minorHAnsi"/>
                <w:color w:val="000000"/>
                <w:szCs w:val="21"/>
              </w:rPr>
            </w:pPr>
            <w:r w:rsidRPr="0027755B">
              <w:rPr>
                <w:rFonts w:asciiTheme="minorHAnsi" w:hAnsiTheme="minorHAnsi" w:cstheme="minorHAnsi"/>
                <w:color w:val="000000"/>
                <w:szCs w:val="21"/>
              </w:rPr>
              <w:t>Family-</w:t>
            </w:r>
            <w:proofErr w:type="spellStart"/>
            <w:r w:rsidRPr="0027755B">
              <w:rPr>
                <w:rFonts w:asciiTheme="minorHAnsi" w:hAnsiTheme="minorHAnsi" w:cstheme="minorHAnsi"/>
                <w:color w:val="000000"/>
                <w:szCs w:val="21"/>
              </w:rPr>
              <w:t>centred</w:t>
            </w:r>
            <w:proofErr w:type="spellEnd"/>
            <w:r w:rsidRPr="0027755B">
              <w:rPr>
                <w:rFonts w:asciiTheme="minorHAnsi" w:hAnsiTheme="minorHAnsi" w:cstheme="minorHAnsi"/>
                <w:color w:val="000000"/>
                <w:szCs w:val="21"/>
              </w:rPr>
              <w:t xml:space="preserve"> transition planning also listens to families’ concerns, such as concern for safety in the workplace or impact of wage on income support payments, that might be impacting their expectations and preferences (Southward &amp; </w:t>
            </w:r>
            <w:proofErr w:type="spellStart"/>
            <w:r w:rsidRPr="0027755B">
              <w:rPr>
                <w:rFonts w:asciiTheme="minorHAnsi" w:hAnsiTheme="minorHAnsi" w:cstheme="minorHAnsi"/>
                <w:color w:val="000000"/>
                <w:szCs w:val="21"/>
              </w:rPr>
              <w:t>Kyzar</w:t>
            </w:r>
            <w:proofErr w:type="spellEnd"/>
            <w:r w:rsidRPr="0027755B">
              <w:rPr>
                <w:rFonts w:asciiTheme="minorHAnsi" w:hAnsiTheme="minorHAnsi" w:cstheme="minorHAnsi"/>
                <w:color w:val="000000"/>
                <w:szCs w:val="21"/>
              </w:rPr>
              <w:t>, 2017).</w:t>
            </w:r>
          </w:p>
        </w:tc>
      </w:tr>
      <w:tr w:rsidR="000C7D2D" w:rsidRPr="0027755B" w14:paraId="3AD32DF5" w14:textId="77777777" w:rsidTr="00341F0F">
        <w:trPr>
          <w:trHeight w:val="338"/>
        </w:trPr>
        <w:tc>
          <w:tcPr>
            <w:tcW w:w="2250" w:type="dxa"/>
          </w:tcPr>
          <w:p w14:paraId="0909E4AE" w14:textId="77777777" w:rsidR="000C7D2D" w:rsidRPr="0027755B" w:rsidRDefault="000C7D2D" w:rsidP="0027755B">
            <w:pPr>
              <w:snapToGrid w:val="0"/>
              <w:spacing w:line="276" w:lineRule="auto"/>
              <w:rPr>
                <w:rFonts w:asciiTheme="minorHAnsi" w:hAnsiTheme="minorHAnsi" w:cstheme="minorHAnsi"/>
                <w:szCs w:val="21"/>
              </w:rPr>
            </w:pPr>
            <w:proofErr w:type="spellStart"/>
            <w:r w:rsidRPr="0027755B">
              <w:rPr>
                <w:rFonts w:asciiTheme="minorHAnsi" w:hAnsiTheme="minorHAnsi" w:cstheme="minorHAnsi"/>
                <w:szCs w:val="21"/>
              </w:rPr>
              <w:lastRenderedPageBreak/>
              <w:t>Individualised</w:t>
            </w:r>
            <w:proofErr w:type="spellEnd"/>
          </w:p>
        </w:tc>
        <w:tc>
          <w:tcPr>
            <w:tcW w:w="7470" w:type="dxa"/>
          </w:tcPr>
          <w:p w14:paraId="5B9694B1" w14:textId="1AA7AB8A" w:rsidR="000C7D2D" w:rsidRPr="0027755B" w:rsidRDefault="000C7D2D" w:rsidP="0027755B">
            <w:pPr>
              <w:snapToGrid w:val="0"/>
              <w:spacing w:line="276" w:lineRule="auto"/>
              <w:rPr>
                <w:rFonts w:asciiTheme="minorHAnsi" w:hAnsiTheme="minorHAnsi" w:cstheme="minorHAnsi"/>
                <w:szCs w:val="21"/>
              </w:rPr>
            </w:pPr>
            <w:proofErr w:type="spellStart"/>
            <w:r w:rsidRPr="0027755B">
              <w:rPr>
                <w:rFonts w:asciiTheme="minorHAnsi" w:hAnsiTheme="minorHAnsi" w:cstheme="minorHAnsi"/>
                <w:b/>
                <w:bCs/>
                <w:szCs w:val="21"/>
              </w:rPr>
              <w:t>Individuali</w:t>
            </w:r>
            <w:r w:rsidR="00C205E1" w:rsidRPr="0027755B">
              <w:rPr>
                <w:rFonts w:asciiTheme="minorHAnsi" w:hAnsiTheme="minorHAnsi" w:cstheme="minorHAnsi"/>
                <w:b/>
                <w:bCs/>
                <w:szCs w:val="21"/>
              </w:rPr>
              <w:t>s</w:t>
            </w:r>
            <w:r w:rsidRPr="0027755B">
              <w:rPr>
                <w:rFonts w:asciiTheme="minorHAnsi" w:hAnsiTheme="minorHAnsi" w:cstheme="minorHAnsi"/>
                <w:b/>
                <w:bCs/>
                <w:szCs w:val="21"/>
              </w:rPr>
              <w:t>ed</w:t>
            </w:r>
            <w:proofErr w:type="spellEnd"/>
            <w:r w:rsidRPr="0027755B">
              <w:rPr>
                <w:rFonts w:asciiTheme="minorHAnsi" w:hAnsiTheme="minorHAnsi" w:cstheme="minorHAnsi"/>
                <w:b/>
                <w:bCs/>
                <w:szCs w:val="21"/>
              </w:rPr>
              <w:t xml:space="preserve"> </w:t>
            </w:r>
            <w:r w:rsidRPr="0027755B">
              <w:rPr>
                <w:rFonts w:asciiTheme="minorHAnsi" w:hAnsiTheme="minorHAnsi" w:cstheme="minorHAnsi"/>
                <w:szCs w:val="21"/>
              </w:rPr>
              <w:t>transition planning is considered best practice (</w:t>
            </w:r>
            <w:proofErr w:type="spellStart"/>
            <w:r w:rsidRPr="0027755B">
              <w:rPr>
                <w:rFonts w:asciiTheme="minorHAnsi" w:hAnsiTheme="minorHAnsi" w:cstheme="minorHAnsi"/>
                <w:color w:val="000000"/>
                <w:szCs w:val="21"/>
              </w:rPr>
              <w:t>Papay</w:t>
            </w:r>
            <w:proofErr w:type="spellEnd"/>
            <w:r w:rsidRPr="0027755B">
              <w:rPr>
                <w:rFonts w:asciiTheme="minorHAnsi" w:hAnsiTheme="minorHAnsi" w:cstheme="minorHAnsi"/>
                <w:color w:val="000000"/>
                <w:szCs w:val="21"/>
              </w:rPr>
              <w:t xml:space="preserve"> &amp; Bamb</w:t>
            </w:r>
            <w:r w:rsidR="00054ABE" w:rsidRPr="0027755B">
              <w:rPr>
                <w:rFonts w:asciiTheme="minorHAnsi" w:hAnsiTheme="minorHAnsi" w:cstheme="minorHAnsi"/>
                <w:color w:val="000000"/>
                <w:szCs w:val="21"/>
              </w:rPr>
              <w:t>a</w:t>
            </w:r>
            <w:r w:rsidRPr="0027755B">
              <w:rPr>
                <w:rFonts w:asciiTheme="minorHAnsi" w:hAnsiTheme="minorHAnsi" w:cstheme="minorHAnsi"/>
                <w:color w:val="000000"/>
                <w:szCs w:val="21"/>
              </w:rPr>
              <w:t xml:space="preserve">ra, 2014). </w:t>
            </w:r>
            <w:proofErr w:type="spellStart"/>
            <w:r w:rsidRPr="0027755B">
              <w:rPr>
                <w:rFonts w:asciiTheme="minorHAnsi" w:hAnsiTheme="minorHAnsi" w:cstheme="minorHAnsi"/>
                <w:color w:val="000000"/>
                <w:szCs w:val="21"/>
              </w:rPr>
              <w:t>I</w:t>
            </w:r>
            <w:r w:rsidRPr="0027755B">
              <w:rPr>
                <w:rFonts w:asciiTheme="minorHAnsi" w:hAnsiTheme="minorHAnsi" w:cstheme="minorHAnsi"/>
                <w:szCs w:val="21"/>
              </w:rPr>
              <w:t>ndividualised</w:t>
            </w:r>
            <w:proofErr w:type="spellEnd"/>
            <w:r w:rsidRPr="0027755B">
              <w:rPr>
                <w:rFonts w:asciiTheme="minorHAnsi" w:hAnsiTheme="minorHAnsi" w:cstheme="minorHAnsi"/>
                <w:szCs w:val="21"/>
              </w:rPr>
              <w:t xml:space="preserve"> transition plans should be based on the young person’s strengths, preferences, needs and interests (</w:t>
            </w:r>
            <w:r w:rsidRPr="0027755B">
              <w:rPr>
                <w:rFonts w:asciiTheme="minorHAnsi" w:hAnsiTheme="minorHAnsi" w:cstheme="minorHAnsi"/>
                <w:color w:val="000000"/>
                <w:szCs w:val="21"/>
              </w:rPr>
              <w:t>Kohler &amp; Field, 2003</w:t>
            </w:r>
            <w:r w:rsidRPr="0027755B">
              <w:rPr>
                <w:rFonts w:asciiTheme="minorHAnsi" w:hAnsiTheme="minorHAnsi" w:cstheme="minorHAnsi"/>
                <w:szCs w:val="21"/>
              </w:rPr>
              <w:t xml:space="preserve">). Transition can be linked to Individual Education or Learning Plans (IEP/ILP) within schools, with research showing that where plans included </w:t>
            </w:r>
            <w:proofErr w:type="spellStart"/>
            <w:r w:rsidRPr="0027755B">
              <w:rPr>
                <w:rFonts w:asciiTheme="minorHAnsi" w:hAnsiTheme="minorHAnsi" w:cstheme="minorHAnsi"/>
                <w:szCs w:val="21"/>
              </w:rPr>
              <w:t>individuali</w:t>
            </w:r>
            <w:r w:rsidR="00C205E1" w:rsidRPr="0027755B">
              <w:rPr>
                <w:rFonts w:asciiTheme="minorHAnsi" w:hAnsiTheme="minorHAnsi" w:cstheme="minorHAnsi"/>
                <w:szCs w:val="21"/>
              </w:rPr>
              <w:t>s</w:t>
            </w:r>
            <w:r w:rsidRPr="0027755B">
              <w:rPr>
                <w:rFonts w:asciiTheme="minorHAnsi" w:hAnsiTheme="minorHAnsi" w:cstheme="minorHAnsi"/>
                <w:szCs w:val="21"/>
              </w:rPr>
              <w:t>ed</w:t>
            </w:r>
            <w:proofErr w:type="spellEnd"/>
            <w:r w:rsidRPr="0027755B">
              <w:rPr>
                <w:rFonts w:asciiTheme="minorHAnsi" w:hAnsiTheme="minorHAnsi" w:cstheme="minorHAnsi"/>
                <w:szCs w:val="21"/>
              </w:rPr>
              <w:t xml:space="preserve"> goals related to gaining paid employment, this increased employment outcomes (Southward &amp; </w:t>
            </w:r>
            <w:proofErr w:type="spellStart"/>
            <w:r w:rsidRPr="0027755B">
              <w:rPr>
                <w:rFonts w:asciiTheme="minorHAnsi" w:hAnsiTheme="minorHAnsi" w:cstheme="minorHAnsi"/>
                <w:szCs w:val="21"/>
              </w:rPr>
              <w:t>Kyzar</w:t>
            </w:r>
            <w:proofErr w:type="spellEnd"/>
            <w:r w:rsidRPr="0027755B">
              <w:rPr>
                <w:rFonts w:asciiTheme="minorHAnsi" w:hAnsiTheme="minorHAnsi" w:cstheme="minorHAnsi"/>
                <w:szCs w:val="21"/>
              </w:rPr>
              <w:t xml:space="preserve">, 2017). </w:t>
            </w:r>
          </w:p>
        </w:tc>
      </w:tr>
      <w:tr w:rsidR="000C7D2D" w:rsidRPr="0027755B" w14:paraId="222B2572" w14:textId="77777777" w:rsidTr="00341F0F">
        <w:trPr>
          <w:trHeight w:val="350"/>
        </w:trPr>
        <w:tc>
          <w:tcPr>
            <w:tcW w:w="2250" w:type="dxa"/>
          </w:tcPr>
          <w:p w14:paraId="5296D9CF" w14:textId="77777777" w:rsidR="000C7D2D" w:rsidRPr="0027755B" w:rsidRDefault="000C7D2D" w:rsidP="0027755B">
            <w:pPr>
              <w:snapToGrid w:val="0"/>
              <w:spacing w:line="276" w:lineRule="auto"/>
              <w:rPr>
                <w:rFonts w:asciiTheme="minorHAnsi" w:hAnsiTheme="minorHAnsi" w:cstheme="minorHAnsi"/>
                <w:szCs w:val="21"/>
              </w:rPr>
            </w:pPr>
            <w:r w:rsidRPr="0027755B">
              <w:rPr>
                <w:rFonts w:asciiTheme="minorHAnsi" w:hAnsiTheme="minorHAnsi" w:cstheme="minorHAnsi"/>
                <w:szCs w:val="21"/>
              </w:rPr>
              <w:t>Early</w:t>
            </w:r>
          </w:p>
        </w:tc>
        <w:tc>
          <w:tcPr>
            <w:tcW w:w="7470" w:type="dxa"/>
          </w:tcPr>
          <w:p w14:paraId="1A421ADE" w14:textId="1410C7DD" w:rsidR="000C7D2D" w:rsidRPr="0027755B" w:rsidRDefault="000C7D2D" w:rsidP="0027755B">
            <w:pPr>
              <w:spacing w:line="276" w:lineRule="auto"/>
              <w:rPr>
                <w:rFonts w:asciiTheme="minorHAnsi" w:hAnsiTheme="minorHAnsi" w:cstheme="minorHAnsi"/>
                <w:szCs w:val="21"/>
              </w:rPr>
            </w:pPr>
            <w:r w:rsidRPr="0027755B">
              <w:rPr>
                <w:rFonts w:asciiTheme="minorHAnsi" w:hAnsiTheme="minorHAnsi" w:cstheme="minorHAnsi"/>
                <w:b/>
                <w:bCs/>
                <w:szCs w:val="21"/>
              </w:rPr>
              <w:t>Early</w:t>
            </w:r>
            <w:r w:rsidRPr="0027755B">
              <w:rPr>
                <w:rFonts w:asciiTheme="minorHAnsi" w:hAnsiTheme="minorHAnsi" w:cstheme="minorHAnsi"/>
                <w:szCs w:val="21"/>
              </w:rPr>
              <w:t xml:space="preserve"> transition planning or focus for young people with disability leads to improved employment outcomes (Baer</w:t>
            </w:r>
            <w:r w:rsidR="00174A2C" w:rsidRPr="0027755B">
              <w:rPr>
                <w:rFonts w:asciiTheme="minorHAnsi" w:hAnsiTheme="minorHAnsi" w:cstheme="minorHAnsi"/>
                <w:szCs w:val="21"/>
              </w:rPr>
              <w:t xml:space="preserve"> et al.</w:t>
            </w:r>
            <w:r w:rsidRPr="0027755B">
              <w:rPr>
                <w:rFonts w:asciiTheme="minorHAnsi" w:hAnsiTheme="minorHAnsi" w:cstheme="minorHAnsi"/>
                <w:szCs w:val="21"/>
              </w:rPr>
              <w:t xml:space="preserve">, 2011; </w:t>
            </w:r>
            <w:proofErr w:type="spellStart"/>
            <w:r w:rsidRPr="0027755B">
              <w:rPr>
                <w:rFonts w:asciiTheme="minorHAnsi" w:hAnsiTheme="minorHAnsi" w:cstheme="minorHAnsi"/>
                <w:szCs w:val="21"/>
              </w:rPr>
              <w:t>Luecking</w:t>
            </w:r>
            <w:proofErr w:type="spellEnd"/>
            <w:r w:rsidRPr="0027755B">
              <w:rPr>
                <w:rFonts w:asciiTheme="minorHAnsi" w:hAnsiTheme="minorHAnsi" w:cstheme="minorHAnsi"/>
                <w:szCs w:val="21"/>
              </w:rPr>
              <w:t xml:space="preserve"> &amp; </w:t>
            </w:r>
            <w:proofErr w:type="spellStart"/>
            <w:r w:rsidRPr="0027755B">
              <w:rPr>
                <w:rFonts w:asciiTheme="minorHAnsi" w:hAnsiTheme="minorHAnsi" w:cstheme="minorHAnsi"/>
                <w:szCs w:val="21"/>
              </w:rPr>
              <w:t>Luecking</w:t>
            </w:r>
            <w:proofErr w:type="spellEnd"/>
            <w:r w:rsidRPr="0027755B">
              <w:rPr>
                <w:rFonts w:asciiTheme="minorHAnsi" w:hAnsiTheme="minorHAnsi" w:cstheme="minorHAnsi"/>
                <w:szCs w:val="21"/>
              </w:rPr>
              <w:t>, 201</w:t>
            </w:r>
            <w:r w:rsidR="00ED75E5" w:rsidRPr="0027755B">
              <w:rPr>
                <w:rFonts w:asciiTheme="minorHAnsi" w:hAnsiTheme="minorHAnsi" w:cstheme="minorHAnsi"/>
                <w:szCs w:val="21"/>
              </w:rPr>
              <w:t>5</w:t>
            </w:r>
            <w:r w:rsidRPr="0027755B">
              <w:rPr>
                <w:rFonts w:asciiTheme="minorHAnsi" w:hAnsiTheme="minorHAnsi" w:cstheme="minorHAnsi"/>
                <w:szCs w:val="21"/>
              </w:rPr>
              <w:t xml:space="preserve">; </w:t>
            </w:r>
            <w:r w:rsidRPr="000151AA">
              <w:rPr>
                <w:rFonts w:asciiTheme="minorHAnsi" w:hAnsiTheme="minorHAnsi" w:cstheme="minorHAnsi"/>
                <w:szCs w:val="21"/>
              </w:rPr>
              <w:t>Test</w:t>
            </w:r>
            <w:r w:rsidR="00B00DBE" w:rsidRPr="000151AA">
              <w:rPr>
                <w:rFonts w:asciiTheme="minorHAnsi" w:hAnsiTheme="minorHAnsi" w:cstheme="minorHAnsi"/>
                <w:szCs w:val="21"/>
              </w:rPr>
              <w:t xml:space="preserve"> et al.</w:t>
            </w:r>
            <w:r w:rsidRPr="000151AA">
              <w:rPr>
                <w:rFonts w:asciiTheme="minorHAnsi" w:hAnsiTheme="minorHAnsi" w:cstheme="minorHAnsi"/>
                <w:szCs w:val="21"/>
              </w:rPr>
              <w:t>, 20</w:t>
            </w:r>
            <w:r w:rsidR="000151AA" w:rsidRPr="000151AA">
              <w:rPr>
                <w:rFonts w:asciiTheme="minorHAnsi" w:hAnsiTheme="minorHAnsi" w:cstheme="minorHAnsi"/>
                <w:szCs w:val="21"/>
              </w:rPr>
              <w:t>09</w:t>
            </w:r>
            <w:r w:rsidRPr="0027755B">
              <w:rPr>
                <w:rFonts w:asciiTheme="minorHAnsi" w:hAnsiTheme="minorHAnsi" w:cstheme="minorHAnsi"/>
                <w:szCs w:val="21"/>
              </w:rPr>
              <w:t xml:space="preserve">; </w:t>
            </w:r>
            <w:proofErr w:type="spellStart"/>
            <w:r w:rsidRPr="0027755B">
              <w:rPr>
                <w:rFonts w:asciiTheme="minorHAnsi" w:hAnsiTheme="minorHAnsi" w:cstheme="minorHAnsi"/>
                <w:szCs w:val="21"/>
              </w:rPr>
              <w:t>Cimera</w:t>
            </w:r>
            <w:proofErr w:type="spellEnd"/>
            <w:r w:rsidR="00F96E5E" w:rsidRPr="0027755B">
              <w:rPr>
                <w:rFonts w:asciiTheme="minorHAnsi" w:hAnsiTheme="minorHAnsi" w:cstheme="minorHAnsi"/>
                <w:szCs w:val="21"/>
              </w:rPr>
              <w:t xml:space="preserve"> et al.</w:t>
            </w:r>
            <w:r w:rsidRPr="0027755B">
              <w:rPr>
                <w:rFonts w:asciiTheme="minorHAnsi" w:hAnsiTheme="minorHAnsi" w:cstheme="minorHAnsi"/>
                <w:szCs w:val="21"/>
              </w:rPr>
              <w:t xml:space="preserve">, 2011; </w:t>
            </w:r>
            <w:proofErr w:type="spellStart"/>
            <w:r w:rsidRPr="0027755B">
              <w:rPr>
                <w:rFonts w:asciiTheme="minorHAnsi" w:hAnsiTheme="minorHAnsi" w:cstheme="minorHAnsi"/>
                <w:color w:val="000000"/>
                <w:szCs w:val="21"/>
              </w:rPr>
              <w:t>Andersén</w:t>
            </w:r>
            <w:proofErr w:type="spellEnd"/>
            <w:r w:rsidRPr="0027755B">
              <w:rPr>
                <w:rFonts w:asciiTheme="minorHAnsi" w:hAnsiTheme="minorHAnsi" w:cstheme="minorHAnsi"/>
                <w:color w:val="000000"/>
                <w:szCs w:val="21"/>
              </w:rPr>
              <w:t xml:space="preserve"> et al., 2018; ARTD Consultants, 2019; </w:t>
            </w:r>
            <w:proofErr w:type="spellStart"/>
            <w:r w:rsidRPr="0027755B">
              <w:rPr>
                <w:rFonts w:asciiTheme="minorHAnsi" w:hAnsiTheme="minorHAnsi" w:cstheme="minorHAnsi"/>
                <w:color w:val="000000"/>
                <w:szCs w:val="21"/>
              </w:rPr>
              <w:t>Bouck</w:t>
            </w:r>
            <w:proofErr w:type="spellEnd"/>
            <w:r w:rsidRPr="0027755B">
              <w:rPr>
                <w:rFonts w:asciiTheme="minorHAnsi" w:hAnsiTheme="minorHAnsi" w:cstheme="minorHAnsi"/>
                <w:color w:val="000000"/>
                <w:szCs w:val="21"/>
              </w:rPr>
              <w:t>, 2012; Kohler &amp; Field, 2003; Sheppard</w:t>
            </w:r>
            <w:r w:rsidR="00A61C12" w:rsidRPr="0027755B">
              <w:rPr>
                <w:rFonts w:asciiTheme="minorHAnsi" w:hAnsiTheme="minorHAnsi" w:cstheme="minorHAnsi"/>
                <w:color w:val="000000"/>
                <w:szCs w:val="21"/>
              </w:rPr>
              <w:t xml:space="preserve"> et al.,</w:t>
            </w:r>
            <w:r w:rsidRPr="0027755B">
              <w:rPr>
                <w:rFonts w:asciiTheme="minorHAnsi" w:hAnsiTheme="minorHAnsi" w:cstheme="minorHAnsi"/>
                <w:color w:val="000000"/>
                <w:szCs w:val="21"/>
              </w:rPr>
              <w:t xml:space="preserve"> 2017; </w:t>
            </w:r>
            <w:proofErr w:type="spellStart"/>
            <w:r w:rsidRPr="0027755B">
              <w:rPr>
                <w:rFonts w:asciiTheme="minorHAnsi" w:hAnsiTheme="minorHAnsi" w:cstheme="minorHAnsi"/>
                <w:color w:val="000000"/>
                <w:szCs w:val="21"/>
              </w:rPr>
              <w:t>Cimera</w:t>
            </w:r>
            <w:proofErr w:type="spellEnd"/>
            <w:r w:rsidR="00F96E5E" w:rsidRPr="0027755B">
              <w:rPr>
                <w:rFonts w:asciiTheme="minorHAnsi" w:hAnsiTheme="minorHAnsi" w:cstheme="minorHAnsi"/>
                <w:color w:val="000000"/>
                <w:szCs w:val="21"/>
              </w:rPr>
              <w:t xml:space="preserve"> et al.</w:t>
            </w:r>
            <w:r w:rsidRPr="0027755B">
              <w:rPr>
                <w:rFonts w:asciiTheme="minorHAnsi" w:hAnsiTheme="minorHAnsi" w:cstheme="minorHAnsi"/>
                <w:color w:val="000000"/>
                <w:szCs w:val="21"/>
              </w:rPr>
              <w:t>, 2014</w:t>
            </w:r>
            <w:r w:rsidRPr="0027755B">
              <w:rPr>
                <w:rFonts w:asciiTheme="minorHAnsi" w:hAnsiTheme="minorHAnsi" w:cstheme="minorHAnsi"/>
                <w:szCs w:val="21"/>
              </w:rPr>
              <w:t xml:space="preserve">). </w:t>
            </w:r>
            <w:r w:rsidRPr="0027755B">
              <w:rPr>
                <w:rFonts w:asciiTheme="minorHAnsi" w:hAnsiTheme="minorHAnsi" w:cstheme="minorHAnsi"/>
                <w:color w:val="000000"/>
                <w:szCs w:val="21"/>
              </w:rPr>
              <w:t>Transition planning should commence by the age of 14 (for instance, this is the mandated age for transition planning for people with disability in the United States) which aligns with career development planning programs for students without disability which usually commence at working age. There is strong evidence from large scale studies of people with intellectual disability in the United States, that commencing transition planning at 14 y</w:t>
            </w:r>
            <w:r w:rsidR="00BF7C7D" w:rsidRPr="0027755B">
              <w:rPr>
                <w:rFonts w:asciiTheme="minorHAnsi" w:hAnsiTheme="minorHAnsi" w:cstheme="minorHAnsi"/>
                <w:color w:val="000000"/>
                <w:szCs w:val="21"/>
              </w:rPr>
              <w:t>ea</w:t>
            </w:r>
            <w:r w:rsidRPr="0027755B">
              <w:rPr>
                <w:rFonts w:asciiTheme="minorHAnsi" w:hAnsiTheme="minorHAnsi" w:cstheme="minorHAnsi"/>
                <w:color w:val="000000"/>
                <w:szCs w:val="21"/>
              </w:rPr>
              <w:t>rs, compared to 16</w:t>
            </w:r>
            <w:r w:rsidR="00BF7C7D" w:rsidRPr="0027755B">
              <w:rPr>
                <w:rFonts w:asciiTheme="minorHAnsi" w:hAnsiTheme="minorHAnsi" w:cstheme="minorHAnsi"/>
                <w:color w:val="000000"/>
                <w:szCs w:val="21"/>
              </w:rPr>
              <w:t xml:space="preserve"> </w:t>
            </w:r>
            <w:r w:rsidRPr="0027755B">
              <w:rPr>
                <w:rFonts w:asciiTheme="minorHAnsi" w:hAnsiTheme="minorHAnsi" w:cstheme="minorHAnsi"/>
                <w:color w:val="000000"/>
                <w:szCs w:val="21"/>
              </w:rPr>
              <w:t>y</w:t>
            </w:r>
            <w:r w:rsidR="00BF7C7D" w:rsidRPr="0027755B">
              <w:rPr>
                <w:rFonts w:asciiTheme="minorHAnsi" w:hAnsiTheme="minorHAnsi" w:cstheme="minorHAnsi"/>
                <w:color w:val="000000"/>
                <w:szCs w:val="21"/>
              </w:rPr>
              <w:t>ea</w:t>
            </w:r>
            <w:r w:rsidRPr="0027755B">
              <w:rPr>
                <w:rFonts w:asciiTheme="minorHAnsi" w:hAnsiTheme="minorHAnsi" w:cstheme="minorHAnsi"/>
                <w:color w:val="000000"/>
                <w:szCs w:val="21"/>
              </w:rPr>
              <w:t>rs, results in significantly increased employment outcomes (</w:t>
            </w:r>
            <w:proofErr w:type="spellStart"/>
            <w:r w:rsidRPr="0027755B">
              <w:rPr>
                <w:rFonts w:asciiTheme="minorHAnsi" w:hAnsiTheme="minorHAnsi" w:cstheme="minorHAnsi"/>
                <w:color w:val="000000"/>
                <w:szCs w:val="21"/>
              </w:rPr>
              <w:t>Cimera</w:t>
            </w:r>
            <w:proofErr w:type="spellEnd"/>
            <w:r w:rsidR="00F96E5E" w:rsidRPr="0027755B">
              <w:rPr>
                <w:rFonts w:asciiTheme="minorHAnsi" w:hAnsiTheme="minorHAnsi" w:cstheme="minorHAnsi"/>
                <w:color w:val="000000"/>
                <w:szCs w:val="21"/>
              </w:rPr>
              <w:t xml:space="preserve"> et al</w:t>
            </w:r>
            <w:r w:rsidRPr="0027755B">
              <w:rPr>
                <w:rFonts w:asciiTheme="minorHAnsi" w:hAnsiTheme="minorHAnsi" w:cstheme="minorHAnsi"/>
                <w:color w:val="000000"/>
                <w:szCs w:val="21"/>
              </w:rPr>
              <w:t xml:space="preserve">, 2014). When interviewed about transition experiences, US parents and young adults with intellectual and other disabilities advised: </w:t>
            </w:r>
            <w:r w:rsidR="0045502B" w:rsidRPr="0027755B">
              <w:rPr>
                <w:rFonts w:asciiTheme="minorHAnsi" w:hAnsiTheme="minorHAnsi" w:cstheme="minorHAnsi"/>
                <w:color w:val="000000"/>
                <w:szCs w:val="21"/>
              </w:rPr>
              <w:t>“</w:t>
            </w:r>
            <w:r w:rsidRPr="0027755B">
              <w:rPr>
                <w:rFonts w:asciiTheme="minorHAnsi" w:hAnsiTheme="minorHAnsi" w:cstheme="minorHAnsi"/>
                <w:szCs w:val="21"/>
              </w:rPr>
              <w:t>start ... successful transition [planning] ... earlier</w:t>
            </w:r>
            <w:r w:rsidR="00BF7040" w:rsidRPr="0027755B">
              <w:rPr>
                <w:rFonts w:asciiTheme="minorHAnsi" w:hAnsiTheme="minorHAnsi" w:cstheme="minorHAnsi"/>
                <w:szCs w:val="21"/>
              </w:rPr>
              <w:t>,”</w:t>
            </w:r>
            <w:r w:rsidRPr="0027755B">
              <w:rPr>
                <w:rFonts w:asciiTheme="minorHAnsi" w:hAnsiTheme="minorHAnsi" w:cstheme="minorHAnsi"/>
                <w:szCs w:val="21"/>
              </w:rPr>
              <w:t xml:space="preserve"> even as early as “elementary school” or “preschool, where the presumption still is that everyone can learn anything” (Francis et al.</w:t>
            </w:r>
            <w:r w:rsidR="003C56E1" w:rsidRPr="0027755B">
              <w:rPr>
                <w:rFonts w:asciiTheme="minorHAnsi" w:hAnsiTheme="minorHAnsi" w:cstheme="minorHAnsi"/>
                <w:szCs w:val="21"/>
              </w:rPr>
              <w:t>,</w:t>
            </w:r>
            <w:r w:rsidRPr="0027755B">
              <w:rPr>
                <w:rFonts w:asciiTheme="minorHAnsi" w:hAnsiTheme="minorHAnsi" w:cstheme="minorHAnsi"/>
                <w:szCs w:val="21"/>
              </w:rPr>
              <w:t xml:space="preserve"> 2018, p</w:t>
            </w:r>
            <w:r w:rsidR="003C56E1" w:rsidRPr="0027755B">
              <w:rPr>
                <w:rFonts w:asciiTheme="minorHAnsi" w:hAnsiTheme="minorHAnsi" w:cstheme="minorHAnsi"/>
                <w:szCs w:val="21"/>
              </w:rPr>
              <w:t>p</w:t>
            </w:r>
            <w:r w:rsidRPr="0027755B">
              <w:rPr>
                <w:rFonts w:asciiTheme="minorHAnsi" w:hAnsiTheme="minorHAnsi" w:cstheme="minorHAnsi"/>
                <w:szCs w:val="21"/>
              </w:rPr>
              <w:t>.</w:t>
            </w:r>
            <w:r w:rsidR="003C56E1" w:rsidRPr="0027755B">
              <w:rPr>
                <w:rFonts w:asciiTheme="minorHAnsi" w:hAnsiTheme="minorHAnsi" w:cstheme="minorHAnsi"/>
                <w:szCs w:val="21"/>
              </w:rPr>
              <w:t xml:space="preserve"> </w:t>
            </w:r>
            <w:r w:rsidRPr="0027755B">
              <w:rPr>
                <w:rFonts w:asciiTheme="minorHAnsi" w:hAnsiTheme="minorHAnsi" w:cstheme="minorHAnsi"/>
                <w:szCs w:val="21"/>
              </w:rPr>
              <w:t>285-</w:t>
            </w:r>
            <w:r w:rsidR="005C12C8" w:rsidRPr="0027755B">
              <w:rPr>
                <w:rFonts w:asciiTheme="minorHAnsi" w:hAnsiTheme="minorHAnsi" w:cstheme="minorHAnsi"/>
                <w:szCs w:val="21"/>
              </w:rPr>
              <w:t>28</w:t>
            </w:r>
            <w:r w:rsidRPr="0027755B">
              <w:rPr>
                <w:rFonts w:asciiTheme="minorHAnsi" w:hAnsiTheme="minorHAnsi" w:cstheme="minorHAnsi"/>
                <w:szCs w:val="21"/>
              </w:rPr>
              <w:t xml:space="preserve">6). Australian research supports the suggestion that transition should commence by age 14: </w:t>
            </w:r>
          </w:p>
          <w:p w14:paraId="750D816D" w14:textId="264D1355" w:rsidR="000C7D2D" w:rsidRPr="0027755B" w:rsidRDefault="000C7D2D" w:rsidP="0027755B">
            <w:pPr>
              <w:spacing w:line="276" w:lineRule="auto"/>
              <w:ind w:left="256"/>
              <w:rPr>
                <w:rFonts w:asciiTheme="minorHAnsi" w:hAnsiTheme="minorHAnsi" w:cstheme="minorHAnsi"/>
                <w:szCs w:val="21"/>
              </w:rPr>
            </w:pPr>
            <w:r w:rsidRPr="0027755B">
              <w:rPr>
                <w:rFonts w:asciiTheme="minorHAnsi" w:hAnsiTheme="minorHAnsi" w:cstheme="minorHAnsi"/>
                <w:szCs w:val="21"/>
              </w:rPr>
              <w:t xml:space="preserve">early planning allows students to </w:t>
            </w:r>
            <w:proofErr w:type="spellStart"/>
            <w:r w:rsidRPr="0027755B">
              <w:rPr>
                <w:rFonts w:asciiTheme="minorHAnsi" w:hAnsiTheme="minorHAnsi" w:cstheme="minorHAnsi"/>
                <w:szCs w:val="21"/>
              </w:rPr>
              <w:t>familiarise</w:t>
            </w:r>
            <w:proofErr w:type="spellEnd"/>
            <w:r w:rsidRPr="0027755B">
              <w:rPr>
                <w:rFonts w:asciiTheme="minorHAnsi" w:hAnsiTheme="minorHAnsi" w:cstheme="minorHAnsi"/>
                <w:szCs w:val="21"/>
              </w:rPr>
              <w:t xml:space="preserve"> themselves with the post-school environment, set goals for the future, learn the skills that will assist towards meeting those goals, and make adjustments if goals or desires change (</w:t>
            </w:r>
            <w:r w:rsidR="00C274B4" w:rsidRPr="0027755B">
              <w:rPr>
                <w:rFonts w:asciiTheme="minorHAnsi" w:hAnsiTheme="minorHAnsi" w:cstheme="minorHAnsi"/>
                <w:szCs w:val="21"/>
              </w:rPr>
              <w:t xml:space="preserve">Meadows, 2012, as cited in </w:t>
            </w:r>
            <w:r w:rsidRPr="0027755B">
              <w:rPr>
                <w:rFonts w:asciiTheme="minorHAnsi" w:hAnsiTheme="minorHAnsi" w:cstheme="minorHAnsi"/>
                <w:szCs w:val="21"/>
              </w:rPr>
              <w:t>Wakeford &amp; Waugh, 2014, p. 21)</w:t>
            </w:r>
            <w:r w:rsidR="00B00DBE">
              <w:rPr>
                <w:rFonts w:asciiTheme="minorHAnsi" w:hAnsiTheme="minorHAnsi" w:cstheme="minorHAnsi"/>
                <w:szCs w:val="21"/>
              </w:rPr>
              <w:t>.</w:t>
            </w:r>
          </w:p>
        </w:tc>
      </w:tr>
      <w:tr w:rsidR="000C7D2D" w:rsidRPr="0027755B" w14:paraId="6B5B23EE" w14:textId="77777777" w:rsidTr="00341F0F">
        <w:trPr>
          <w:trHeight w:val="338"/>
        </w:trPr>
        <w:tc>
          <w:tcPr>
            <w:tcW w:w="2250" w:type="dxa"/>
          </w:tcPr>
          <w:p w14:paraId="6C485337" w14:textId="77777777" w:rsidR="000C7D2D" w:rsidRPr="0027755B" w:rsidRDefault="000C7D2D" w:rsidP="0027755B">
            <w:pPr>
              <w:snapToGrid w:val="0"/>
              <w:spacing w:line="276" w:lineRule="auto"/>
              <w:rPr>
                <w:rFonts w:asciiTheme="minorHAnsi" w:hAnsiTheme="minorHAnsi" w:cstheme="minorHAnsi"/>
                <w:szCs w:val="21"/>
              </w:rPr>
            </w:pPr>
            <w:r w:rsidRPr="0027755B">
              <w:rPr>
                <w:rFonts w:asciiTheme="minorHAnsi" w:hAnsiTheme="minorHAnsi" w:cstheme="minorHAnsi"/>
                <w:szCs w:val="21"/>
              </w:rPr>
              <w:t>Collaborative and including active involvement of person with intellectual disability</w:t>
            </w:r>
          </w:p>
        </w:tc>
        <w:tc>
          <w:tcPr>
            <w:tcW w:w="7470" w:type="dxa"/>
          </w:tcPr>
          <w:p w14:paraId="2DAD45CA" w14:textId="03765A9C" w:rsidR="000C7D2D" w:rsidRPr="0027755B" w:rsidRDefault="000C7D2D" w:rsidP="0027755B">
            <w:pPr>
              <w:snapToGrid w:val="0"/>
              <w:spacing w:line="276" w:lineRule="auto"/>
              <w:rPr>
                <w:rFonts w:asciiTheme="minorHAnsi" w:hAnsiTheme="minorHAnsi" w:cstheme="minorHAnsi"/>
                <w:szCs w:val="21"/>
              </w:rPr>
            </w:pPr>
            <w:r w:rsidRPr="0027755B">
              <w:rPr>
                <w:rFonts w:asciiTheme="minorHAnsi" w:hAnsiTheme="minorHAnsi" w:cstheme="minorHAnsi"/>
                <w:szCs w:val="21"/>
              </w:rPr>
              <w:t xml:space="preserve">Transition planning needs to be highly </w:t>
            </w:r>
            <w:r w:rsidRPr="0027755B">
              <w:rPr>
                <w:rFonts w:asciiTheme="minorHAnsi" w:hAnsiTheme="minorHAnsi" w:cstheme="minorHAnsi"/>
                <w:b/>
                <w:bCs/>
                <w:szCs w:val="21"/>
              </w:rPr>
              <w:t xml:space="preserve">collaborative </w:t>
            </w:r>
            <w:r w:rsidRPr="0027755B">
              <w:rPr>
                <w:rFonts w:asciiTheme="minorHAnsi" w:hAnsiTheme="minorHAnsi" w:cstheme="minorHAnsi"/>
                <w:szCs w:val="21"/>
              </w:rPr>
              <w:t xml:space="preserve">between the school, the person with disability, family members and key services (Kirby et al., 2019; </w:t>
            </w:r>
            <w:proofErr w:type="spellStart"/>
            <w:r w:rsidRPr="0027755B">
              <w:rPr>
                <w:rFonts w:asciiTheme="minorHAnsi" w:hAnsiTheme="minorHAnsi" w:cstheme="minorHAnsi"/>
                <w:szCs w:val="21"/>
              </w:rPr>
              <w:t>Papay</w:t>
            </w:r>
            <w:proofErr w:type="spellEnd"/>
            <w:r w:rsidRPr="0027755B">
              <w:rPr>
                <w:rFonts w:asciiTheme="minorHAnsi" w:hAnsiTheme="minorHAnsi" w:cstheme="minorHAnsi"/>
                <w:szCs w:val="21"/>
              </w:rPr>
              <w:t xml:space="preserve"> &amp; Bambara, 2014). Several studies show that where the student with intellectual disability actively took part in transition planning, they were four times more likely to experience employment outcomes. This is linked to evidence that goal setting is motivational for young people with intellectual disability and builds independence </w:t>
            </w:r>
            <w:r w:rsidRPr="0027755B">
              <w:rPr>
                <w:rFonts w:asciiTheme="minorHAnsi" w:hAnsiTheme="minorHAnsi" w:cstheme="minorHAnsi"/>
                <w:color w:val="000000"/>
                <w:szCs w:val="21"/>
              </w:rPr>
              <w:t xml:space="preserve">(Southward &amp; </w:t>
            </w:r>
            <w:proofErr w:type="spellStart"/>
            <w:r w:rsidRPr="0027755B">
              <w:rPr>
                <w:rFonts w:asciiTheme="minorHAnsi" w:hAnsiTheme="minorHAnsi" w:cstheme="minorHAnsi"/>
                <w:color w:val="000000"/>
                <w:szCs w:val="21"/>
              </w:rPr>
              <w:t>Kyzar</w:t>
            </w:r>
            <w:proofErr w:type="spellEnd"/>
            <w:r w:rsidRPr="0027755B">
              <w:rPr>
                <w:rFonts w:asciiTheme="minorHAnsi" w:hAnsiTheme="minorHAnsi" w:cstheme="minorHAnsi"/>
                <w:color w:val="000000"/>
                <w:szCs w:val="21"/>
              </w:rPr>
              <w:t>, 2017).</w:t>
            </w:r>
          </w:p>
        </w:tc>
      </w:tr>
      <w:tr w:rsidR="000C7D2D" w:rsidRPr="0027755B" w14:paraId="1D05399A" w14:textId="77777777" w:rsidTr="00341F0F">
        <w:trPr>
          <w:trHeight w:val="338"/>
        </w:trPr>
        <w:tc>
          <w:tcPr>
            <w:tcW w:w="2250" w:type="dxa"/>
          </w:tcPr>
          <w:p w14:paraId="227E6197" w14:textId="77777777" w:rsidR="000C7D2D" w:rsidRPr="0027755B" w:rsidRDefault="000C7D2D" w:rsidP="0027755B">
            <w:pPr>
              <w:snapToGrid w:val="0"/>
              <w:spacing w:line="276" w:lineRule="auto"/>
              <w:rPr>
                <w:rFonts w:asciiTheme="minorHAnsi" w:hAnsiTheme="minorHAnsi" w:cstheme="minorHAnsi"/>
                <w:szCs w:val="21"/>
              </w:rPr>
            </w:pPr>
            <w:r w:rsidRPr="0027755B">
              <w:rPr>
                <w:rFonts w:asciiTheme="minorHAnsi" w:hAnsiTheme="minorHAnsi" w:cstheme="minorHAnsi"/>
                <w:szCs w:val="21"/>
              </w:rPr>
              <w:t>Systematic and structured</w:t>
            </w:r>
          </w:p>
        </w:tc>
        <w:tc>
          <w:tcPr>
            <w:tcW w:w="7470" w:type="dxa"/>
          </w:tcPr>
          <w:p w14:paraId="7ABF1333" w14:textId="349754EF" w:rsidR="000C7D2D" w:rsidRPr="0027755B" w:rsidRDefault="000C7D2D" w:rsidP="0027755B">
            <w:pPr>
              <w:autoSpaceDE w:val="0"/>
              <w:autoSpaceDN w:val="0"/>
              <w:adjustRightInd w:val="0"/>
              <w:spacing w:line="276" w:lineRule="auto"/>
              <w:rPr>
                <w:rFonts w:asciiTheme="minorHAnsi" w:hAnsiTheme="minorHAnsi" w:cstheme="minorHAnsi"/>
                <w:color w:val="000000"/>
                <w:szCs w:val="21"/>
              </w:rPr>
            </w:pPr>
            <w:r w:rsidRPr="0027755B">
              <w:rPr>
                <w:rFonts w:asciiTheme="minorHAnsi" w:hAnsiTheme="minorHAnsi" w:cstheme="minorHAnsi"/>
                <w:color w:val="000000"/>
                <w:szCs w:val="21"/>
              </w:rPr>
              <w:t xml:space="preserve">Transition planning must be a </w:t>
            </w:r>
            <w:r w:rsidRPr="0027755B">
              <w:rPr>
                <w:rFonts w:asciiTheme="minorHAnsi" w:hAnsiTheme="minorHAnsi" w:cstheme="minorHAnsi"/>
                <w:b/>
                <w:bCs/>
                <w:color w:val="000000"/>
                <w:szCs w:val="21"/>
              </w:rPr>
              <w:t>systematic and structured process</w:t>
            </w:r>
            <w:r w:rsidRPr="0027755B">
              <w:rPr>
                <w:rFonts w:asciiTheme="minorHAnsi" w:hAnsiTheme="minorHAnsi" w:cstheme="minorHAnsi"/>
                <w:color w:val="000000"/>
                <w:szCs w:val="21"/>
              </w:rPr>
              <w:t xml:space="preserve"> in which stakeholders and agencies collaborate to provide a continuum of services </w:t>
            </w:r>
            <w:proofErr w:type="spellStart"/>
            <w:r w:rsidRPr="0027755B">
              <w:rPr>
                <w:rFonts w:asciiTheme="minorHAnsi" w:hAnsiTheme="minorHAnsi" w:cstheme="minorHAnsi"/>
                <w:color w:val="000000"/>
                <w:szCs w:val="21"/>
              </w:rPr>
              <w:t>individuali</w:t>
            </w:r>
            <w:r w:rsidR="00C205E1" w:rsidRPr="0027755B">
              <w:rPr>
                <w:rFonts w:asciiTheme="minorHAnsi" w:hAnsiTheme="minorHAnsi" w:cstheme="minorHAnsi"/>
                <w:color w:val="000000"/>
                <w:szCs w:val="21"/>
              </w:rPr>
              <w:t>s</w:t>
            </w:r>
            <w:r w:rsidRPr="0027755B">
              <w:rPr>
                <w:rFonts w:asciiTheme="minorHAnsi" w:hAnsiTheme="minorHAnsi" w:cstheme="minorHAnsi"/>
                <w:color w:val="000000"/>
                <w:szCs w:val="21"/>
              </w:rPr>
              <w:t>ed</w:t>
            </w:r>
            <w:proofErr w:type="spellEnd"/>
            <w:r w:rsidRPr="0027755B">
              <w:rPr>
                <w:rFonts w:asciiTheme="minorHAnsi" w:hAnsiTheme="minorHAnsi" w:cstheme="minorHAnsi"/>
                <w:color w:val="000000"/>
                <w:szCs w:val="21"/>
              </w:rPr>
              <w:t xml:space="preserve"> to the person (Kohler &amp; Field, 2003). </w:t>
            </w:r>
          </w:p>
          <w:p w14:paraId="0F507781" w14:textId="75EB6271" w:rsidR="000C7D2D" w:rsidRPr="0027755B" w:rsidRDefault="000C7D2D" w:rsidP="0027755B">
            <w:pPr>
              <w:tabs>
                <w:tab w:val="left" w:pos="6736"/>
              </w:tabs>
              <w:autoSpaceDE w:val="0"/>
              <w:autoSpaceDN w:val="0"/>
              <w:adjustRightInd w:val="0"/>
              <w:spacing w:line="276" w:lineRule="auto"/>
              <w:ind w:left="346" w:right="256"/>
              <w:rPr>
                <w:rFonts w:asciiTheme="minorHAnsi" w:hAnsiTheme="minorHAnsi" w:cstheme="minorHAnsi"/>
                <w:color w:val="000000"/>
                <w:szCs w:val="21"/>
              </w:rPr>
            </w:pPr>
            <w:r w:rsidRPr="0027755B">
              <w:rPr>
                <w:rFonts w:asciiTheme="minorHAnsi" w:hAnsiTheme="minorHAnsi" w:cstheme="minorHAnsi"/>
                <w:szCs w:val="21"/>
              </w:rPr>
              <w:t xml:space="preserve">Transition-oriented schools focus also on systematic community involvement in the development of educational options, community-based learning </w:t>
            </w:r>
            <w:r w:rsidRPr="0027755B">
              <w:rPr>
                <w:rFonts w:asciiTheme="minorHAnsi" w:hAnsiTheme="minorHAnsi" w:cstheme="minorHAnsi"/>
                <w:szCs w:val="21"/>
              </w:rPr>
              <w:lastRenderedPageBreak/>
              <w:t>opportunities, systematic inclusion of students in the social life of the school, and increased expectations related to skills, values, and outcomes for all students (p.</w:t>
            </w:r>
            <w:r w:rsidR="006412AF" w:rsidRPr="0027755B">
              <w:rPr>
                <w:rFonts w:asciiTheme="minorHAnsi" w:hAnsiTheme="minorHAnsi" w:cstheme="minorHAnsi"/>
                <w:szCs w:val="21"/>
              </w:rPr>
              <w:t xml:space="preserve"> </w:t>
            </w:r>
            <w:r w:rsidRPr="0027755B">
              <w:rPr>
                <w:rFonts w:asciiTheme="minorHAnsi" w:hAnsiTheme="minorHAnsi" w:cstheme="minorHAnsi"/>
                <w:szCs w:val="21"/>
              </w:rPr>
              <w:t>179)</w:t>
            </w:r>
            <w:r w:rsidR="00B00DBE">
              <w:rPr>
                <w:rFonts w:asciiTheme="minorHAnsi" w:hAnsiTheme="minorHAnsi" w:cstheme="minorHAnsi"/>
                <w:szCs w:val="21"/>
              </w:rPr>
              <w:t>.</w:t>
            </w:r>
          </w:p>
        </w:tc>
      </w:tr>
      <w:tr w:rsidR="000C7D2D" w:rsidRPr="0027755B" w14:paraId="5326E2C8" w14:textId="77777777" w:rsidTr="00341F0F">
        <w:trPr>
          <w:trHeight w:val="338"/>
        </w:trPr>
        <w:tc>
          <w:tcPr>
            <w:tcW w:w="2250" w:type="dxa"/>
          </w:tcPr>
          <w:p w14:paraId="6C7F8316" w14:textId="77777777" w:rsidR="000C7D2D" w:rsidRPr="0027755B" w:rsidRDefault="000C7D2D" w:rsidP="0027755B">
            <w:pPr>
              <w:snapToGrid w:val="0"/>
              <w:spacing w:line="276" w:lineRule="auto"/>
              <w:rPr>
                <w:rFonts w:asciiTheme="minorHAnsi" w:hAnsiTheme="minorHAnsi" w:cstheme="minorHAnsi"/>
                <w:szCs w:val="21"/>
              </w:rPr>
            </w:pPr>
            <w:r w:rsidRPr="0027755B">
              <w:rPr>
                <w:rFonts w:asciiTheme="minorHAnsi" w:hAnsiTheme="minorHAnsi" w:cstheme="minorHAnsi"/>
                <w:szCs w:val="21"/>
              </w:rPr>
              <w:lastRenderedPageBreak/>
              <w:t xml:space="preserve">Career development AND skills training </w:t>
            </w:r>
          </w:p>
        </w:tc>
        <w:tc>
          <w:tcPr>
            <w:tcW w:w="7470" w:type="dxa"/>
          </w:tcPr>
          <w:p w14:paraId="6BD7CA03" w14:textId="7C250343" w:rsidR="000C7D2D" w:rsidRPr="0027755B" w:rsidRDefault="000C7D2D" w:rsidP="0027755B">
            <w:pPr>
              <w:autoSpaceDE w:val="0"/>
              <w:autoSpaceDN w:val="0"/>
              <w:adjustRightInd w:val="0"/>
              <w:spacing w:line="276" w:lineRule="auto"/>
              <w:rPr>
                <w:rFonts w:asciiTheme="minorHAnsi" w:hAnsiTheme="minorHAnsi" w:cstheme="minorHAnsi"/>
                <w:color w:val="000000"/>
                <w:szCs w:val="21"/>
              </w:rPr>
            </w:pPr>
            <w:r w:rsidRPr="0027755B">
              <w:rPr>
                <w:rFonts w:asciiTheme="minorHAnsi" w:hAnsiTheme="minorHAnsi" w:cstheme="minorHAnsi"/>
                <w:color w:val="000000"/>
                <w:szCs w:val="21"/>
              </w:rPr>
              <w:t xml:space="preserve">Transition requires provision of </w:t>
            </w:r>
            <w:r w:rsidRPr="0027755B">
              <w:rPr>
                <w:rFonts w:asciiTheme="minorHAnsi" w:hAnsiTheme="minorHAnsi" w:cstheme="minorHAnsi"/>
                <w:b/>
                <w:bCs/>
                <w:color w:val="000000"/>
                <w:szCs w:val="21"/>
              </w:rPr>
              <w:t>high-quality career development coupled with skills training (and work experience)</w:t>
            </w:r>
            <w:r w:rsidRPr="0027755B">
              <w:rPr>
                <w:rFonts w:asciiTheme="minorHAnsi" w:hAnsiTheme="minorHAnsi" w:cstheme="minorHAnsi"/>
                <w:color w:val="000000"/>
                <w:szCs w:val="21"/>
              </w:rPr>
              <w:t xml:space="preserve"> to enable people with disability to explore their interests and develop workplace skills. As described by Fields </w:t>
            </w:r>
            <w:r w:rsidR="00671655" w:rsidRPr="0027755B">
              <w:rPr>
                <w:rFonts w:asciiTheme="minorHAnsi" w:hAnsiTheme="minorHAnsi" w:cstheme="minorHAnsi"/>
                <w:color w:val="000000"/>
                <w:szCs w:val="21"/>
              </w:rPr>
              <w:t>and</w:t>
            </w:r>
            <w:r w:rsidRPr="0027755B">
              <w:rPr>
                <w:rFonts w:asciiTheme="minorHAnsi" w:hAnsiTheme="minorHAnsi" w:cstheme="minorHAnsi"/>
                <w:color w:val="000000"/>
                <w:szCs w:val="21"/>
              </w:rPr>
              <w:t xml:space="preserve"> </w:t>
            </w:r>
            <w:proofErr w:type="spellStart"/>
            <w:r w:rsidRPr="0027755B">
              <w:rPr>
                <w:rFonts w:asciiTheme="minorHAnsi" w:hAnsiTheme="minorHAnsi" w:cstheme="minorHAnsi"/>
                <w:color w:val="000000"/>
                <w:szCs w:val="21"/>
              </w:rPr>
              <w:t>Demchak</w:t>
            </w:r>
            <w:proofErr w:type="spellEnd"/>
            <w:r w:rsidRPr="0027755B">
              <w:rPr>
                <w:rFonts w:asciiTheme="minorHAnsi" w:hAnsiTheme="minorHAnsi" w:cstheme="minorHAnsi"/>
                <w:color w:val="000000"/>
                <w:szCs w:val="21"/>
              </w:rPr>
              <w:t xml:space="preserve"> (2019):</w:t>
            </w:r>
          </w:p>
          <w:p w14:paraId="1F2C808D" w14:textId="76EE99E5" w:rsidR="000C7D2D" w:rsidRPr="0027755B" w:rsidRDefault="000C7D2D" w:rsidP="0027755B">
            <w:pPr>
              <w:autoSpaceDE w:val="0"/>
              <w:autoSpaceDN w:val="0"/>
              <w:adjustRightInd w:val="0"/>
              <w:spacing w:line="276" w:lineRule="auto"/>
              <w:ind w:left="360"/>
              <w:rPr>
                <w:rFonts w:asciiTheme="minorHAnsi" w:hAnsiTheme="minorHAnsi" w:cstheme="minorHAnsi"/>
                <w:szCs w:val="21"/>
              </w:rPr>
            </w:pPr>
            <w:r w:rsidRPr="0027755B">
              <w:rPr>
                <w:rFonts w:asciiTheme="minorHAnsi" w:hAnsiTheme="minorHAnsi" w:cstheme="minorHAnsi"/>
                <w:szCs w:val="21"/>
              </w:rPr>
              <w:t xml:space="preserve">To successfully respond to the challenges associated with transitioning a student with an intellectual disability (ID) into employment, secondary schools must devise and implement an effective </w:t>
            </w:r>
            <w:r w:rsidRPr="0027755B">
              <w:rPr>
                <w:rFonts w:asciiTheme="minorHAnsi" w:hAnsiTheme="minorHAnsi" w:cstheme="minorHAnsi"/>
                <w:b/>
                <w:bCs/>
                <w:szCs w:val="21"/>
              </w:rPr>
              <w:t>school-to-work curriculum that provides vocational skill instruction</w:t>
            </w:r>
            <w:r w:rsidRPr="0027755B">
              <w:rPr>
                <w:rFonts w:asciiTheme="minorHAnsi" w:hAnsiTheme="minorHAnsi" w:cstheme="minorHAnsi"/>
                <w:szCs w:val="21"/>
              </w:rPr>
              <w:t xml:space="preserve"> (Carter</w:t>
            </w:r>
            <w:r w:rsidR="00F308C2" w:rsidRPr="0027755B">
              <w:rPr>
                <w:rFonts w:asciiTheme="minorHAnsi" w:hAnsiTheme="minorHAnsi" w:cstheme="minorHAnsi"/>
                <w:szCs w:val="21"/>
              </w:rPr>
              <w:t xml:space="preserve"> et al., 2009</w:t>
            </w:r>
            <w:r w:rsidRPr="0027755B">
              <w:rPr>
                <w:rFonts w:asciiTheme="minorHAnsi" w:hAnsiTheme="minorHAnsi" w:cstheme="minorHAnsi"/>
                <w:szCs w:val="21"/>
              </w:rPr>
              <w:t xml:space="preserve">) and that seeks to </w:t>
            </w:r>
            <w:r w:rsidRPr="0027755B">
              <w:rPr>
                <w:rFonts w:asciiTheme="minorHAnsi" w:hAnsiTheme="minorHAnsi" w:cstheme="minorHAnsi"/>
                <w:b/>
                <w:bCs/>
                <w:szCs w:val="21"/>
              </w:rPr>
              <w:t>engage the employment opportunities available within the local community</w:t>
            </w:r>
            <w:r w:rsidRPr="0027755B">
              <w:rPr>
                <w:rFonts w:asciiTheme="minorHAnsi" w:hAnsiTheme="minorHAnsi" w:cstheme="minorHAnsi"/>
                <w:szCs w:val="21"/>
              </w:rPr>
              <w:t xml:space="preserve"> (Brooke, Revell, &amp; </w:t>
            </w:r>
            <w:proofErr w:type="spellStart"/>
            <w:r w:rsidRPr="0027755B">
              <w:rPr>
                <w:rFonts w:asciiTheme="minorHAnsi" w:hAnsiTheme="minorHAnsi" w:cstheme="minorHAnsi"/>
                <w:szCs w:val="21"/>
              </w:rPr>
              <w:t>Wehman</w:t>
            </w:r>
            <w:proofErr w:type="spellEnd"/>
            <w:r w:rsidRPr="0027755B">
              <w:rPr>
                <w:rFonts w:asciiTheme="minorHAnsi" w:hAnsiTheme="minorHAnsi" w:cstheme="minorHAnsi"/>
                <w:szCs w:val="21"/>
              </w:rPr>
              <w:t xml:space="preserve">, 2009). Hart, Barnett, and Crippen (2014) suggest that an appropriate transition curriculum for students with ID should incorporate </w:t>
            </w:r>
            <w:r w:rsidRPr="0027755B">
              <w:rPr>
                <w:rFonts w:asciiTheme="minorHAnsi" w:hAnsiTheme="minorHAnsi" w:cstheme="minorHAnsi"/>
                <w:b/>
                <w:bCs/>
                <w:szCs w:val="21"/>
              </w:rPr>
              <w:t>real-world, community-based vocational training experiences</w:t>
            </w:r>
            <w:r w:rsidRPr="0027755B">
              <w:rPr>
                <w:rFonts w:asciiTheme="minorHAnsi" w:hAnsiTheme="minorHAnsi" w:cstheme="minorHAnsi"/>
                <w:szCs w:val="21"/>
              </w:rPr>
              <w:t xml:space="preserve"> (p.</w:t>
            </w:r>
            <w:r w:rsidR="00260F06" w:rsidRPr="0027755B">
              <w:rPr>
                <w:rFonts w:asciiTheme="minorHAnsi" w:hAnsiTheme="minorHAnsi" w:cstheme="minorHAnsi"/>
                <w:szCs w:val="21"/>
              </w:rPr>
              <w:t xml:space="preserve"> </w:t>
            </w:r>
            <w:r w:rsidRPr="0027755B">
              <w:rPr>
                <w:rFonts w:asciiTheme="minorHAnsi" w:hAnsiTheme="minorHAnsi" w:cstheme="minorHAnsi"/>
                <w:szCs w:val="21"/>
              </w:rPr>
              <w:t>128</w:t>
            </w:r>
            <w:r w:rsidR="00260F06" w:rsidRPr="0027755B">
              <w:rPr>
                <w:rFonts w:asciiTheme="minorHAnsi" w:hAnsiTheme="minorHAnsi" w:cstheme="minorHAnsi"/>
                <w:szCs w:val="21"/>
              </w:rPr>
              <w:t>,</w:t>
            </w:r>
            <w:r w:rsidRPr="0027755B">
              <w:rPr>
                <w:rFonts w:asciiTheme="minorHAnsi" w:hAnsiTheme="minorHAnsi" w:cstheme="minorHAnsi"/>
                <w:szCs w:val="21"/>
              </w:rPr>
              <w:t xml:space="preserve"> emphasis added).</w:t>
            </w:r>
          </w:p>
          <w:p w14:paraId="4FE44E00" w14:textId="703FEE51" w:rsidR="000C7D2D" w:rsidRPr="0027755B" w:rsidRDefault="000C7D2D" w:rsidP="0027755B">
            <w:pPr>
              <w:autoSpaceDE w:val="0"/>
              <w:autoSpaceDN w:val="0"/>
              <w:adjustRightInd w:val="0"/>
              <w:spacing w:line="276" w:lineRule="auto"/>
              <w:rPr>
                <w:rFonts w:asciiTheme="minorHAnsi" w:hAnsiTheme="minorHAnsi" w:cstheme="minorHAnsi"/>
                <w:color w:val="000000"/>
                <w:szCs w:val="21"/>
              </w:rPr>
            </w:pPr>
            <w:r w:rsidRPr="0027755B">
              <w:rPr>
                <w:rFonts w:asciiTheme="minorHAnsi" w:hAnsiTheme="minorHAnsi" w:cstheme="minorHAnsi"/>
                <w:color w:val="000000"/>
                <w:szCs w:val="21"/>
              </w:rPr>
              <w:t xml:space="preserve">The Transition to Work program in Australia, argues that it is particularly successful with transition to work outcomes because the employment pathway is often activated, via a school based apprenticeship model, </w:t>
            </w:r>
            <w:r w:rsidRPr="0027755B">
              <w:rPr>
                <w:rFonts w:asciiTheme="minorHAnsi" w:hAnsiTheme="minorHAnsi" w:cstheme="minorHAnsi"/>
                <w:i/>
                <w:iCs/>
                <w:color w:val="000000"/>
                <w:szCs w:val="21"/>
              </w:rPr>
              <w:t>while the student it still at school</w:t>
            </w:r>
            <w:r w:rsidRPr="0027755B">
              <w:rPr>
                <w:rFonts w:asciiTheme="minorHAnsi" w:hAnsiTheme="minorHAnsi" w:cstheme="minorHAnsi"/>
                <w:color w:val="000000"/>
                <w:szCs w:val="21"/>
              </w:rPr>
              <w:t xml:space="preserve"> (Wakeford </w:t>
            </w:r>
            <w:r w:rsidR="00BA28E2" w:rsidRPr="0027755B">
              <w:rPr>
                <w:rFonts w:asciiTheme="minorHAnsi" w:hAnsiTheme="minorHAnsi" w:cstheme="minorHAnsi"/>
                <w:color w:val="000000"/>
                <w:szCs w:val="21"/>
              </w:rPr>
              <w:t>&amp;</w:t>
            </w:r>
            <w:r w:rsidRPr="0027755B">
              <w:rPr>
                <w:rFonts w:asciiTheme="minorHAnsi" w:hAnsiTheme="minorHAnsi" w:cstheme="minorHAnsi"/>
                <w:color w:val="000000"/>
                <w:szCs w:val="21"/>
              </w:rPr>
              <w:t xml:space="preserve"> Waugh, 2014).</w:t>
            </w:r>
          </w:p>
          <w:p w14:paraId="04913EE7" w14:textId="622C7C97" w:rsidR="000C7D2D" w:rsidRPr="0027755B" w:rsidRDefault="000C7D2D" w:rsidP="0027755B">
            <w:pPr>
              <w:autoSpaceDE w:val="0"/>
              <w:autoSpaceDN w:val="0"/>
              <w:adjustRightInd w:val="0"/>
              <w:spacing w:line="276" w:lineRule="auto"/>
              <w:ind w:left="346"/>
              <w:rPr>
                <w:rFonts w:asciiTheme="minorHAnsi" w:hAnsiTheme="minorHAnsi" w:cstheme="minorHAnsi"/>
                <w:color w:val="000000"/>
                <w:szCs w:val="21"/>
              </w:rPr>
            </w:pPr>
            <w:r w:rsidRPr="0027755B">
              <w:rPr>
                <w:rFonts w:asciiTheme="minorHAnsi" w:hAnsiTheme="minorHAnsi" w:cstheme="minorHAnsi"/>
                <w:szCs w:val="21"/>
              </w:rPr>
              <w:t>Ticket to Work connects young people with disability to training and employment opportunities in their community whilst they are still in school; making the likelihood of a seamless transition from school and into employment more attainable for these young people (Wakeford &amp; Waugh, 2014, p.</w:t>
            </w:r>
            <w:r w:rsidR="00BA28E2" w:rsidRPr="0027755B">
              <w:rPr>
                <w:rFonts w:asciiTheme="minorHAnsi" w:hAnsiTheme="minorHAnsi" w:cstheme="minorHAnsi"/>
                <w:szCs w:val="21"/>
              </w:rPr>
              <w:t xml:space="preserve"> </w:t>
            </w:r>
            <w:r w:rsidRPr="0027755B">
              <w:rPr>
                <w:rFonts w:asciiTheme="minorHAnsi" w:hAnsiTheme="minorHAnsi" w:cstheme="minorHAnsi"/>
                <w:szCs w:val="21"/>
              </w:rPr>
              <w:t>20)</w:t>
            </w:r>
            <w:r w:rsidR="00B00DBE">
              <w:rPr>
                <w:rFonts w:asciiTheme="minorHAnsi" w:hAnsiTheme="minorHAnsi" w:cstheme="minorHAnsi"/>
                <w:szCs w:val="21"/>
              </w:rPr>
              <w:t>.</w:t>
            </w:r>
          </w:p>
        </w:tc>
      </w:tr>
      <w:tr w:rsidR="000C7D2D" w:rsidRPr="0027755B" w14:paraId="07C4F766" w14:textId="77777777" w:rsidTr="00341F0F">
        <w:trPr>
          <w:trHeight w:val="338"/>
        </w:trPr>
        <w:tc>
          <w:tcPr>
            <w:tcW w:w="2250" w:type="dxa"/>
          </w:tcPr>
          <w:p w14:paraId="15D6FBB5" w14:textId="77777777" w:rsidR="000C7D2D" w:rsidRPr="0027755B" w:rsidRDefault="000C7D2D" w:rsidP="0027755B">
            <w:pPr>
              <w:snapToGrid w:val="0"/>
              <w:spacing w:line="276" w:lineRule="auto"/>
              <w:rPr>
                <w:rFonts w:asciiTheme="minorHAnsi" w:hAnsiTheme="minorHAnsi" w:cstheme="minorHAnsi"/>
                <w:szCs w:val="21"/>
              </w:rPr>
            </w:pPr>
            <w:r w:rsidRPr="0027755B">
              <w:rPr>
                <w:rFonts w:asciiTheme="minorHAnsi" w:hAnsiTheme="minorHAnsi" w:cstheme="minorHAnsi"/>
                <w:szCs w:val="21"/>
              </w:rPr>
              <w:t>Work experience</w:t>
            </w:r>
          </w:p>
        </w:tc>
        <w:tc>
          <w:tcPr>
            <w:tcW w:w="7470" w:type="dxa"/>
          </w:tcPr>
          <w:p w14:paraId="73831B8D" w14:textId="77777777" w:rsidR="000C7D2D" w:rsidRPr="0027755B" w:rsidRDefault="000C7D2D" w:rsidP="0027755B">
            <w:pPr>
              <w:autoSpaceDE w:val="0"/>
              <w:autoSpaceDN w:val="0"/>
              <w:adjustRightInd w:val="0"/>
              <w:spacing w:line="276" w:lineRule="auto"/>
              <w:rPr>
                <w:rFonts w:asciiTheme="minorHAnsi" w:hAnsiTheme="minorHAnsi" w:cstheme="minorHAnsi"/>
                <w:color w:val="000000"/>
                <w:szCs w:val="21"/>
              </w:rPr>
            </w:pPr>
            <w:r w:rsidRPr="0027755B">
              <w:rPr>
                <w:rFonts w:asciiTheme="minorHAnsi" w:hAnsiTheme="minorHAnsi" w:cstheme="minorHAnsi"/>
                <w:b/>
                <w:bCs/>
                <w:color w:val="000000"/>
                <w:szCs w:val="21"/>
              </w:rPr>
              <w:t>Work experience</w:t>
            </w:r>
            <w:r w:rsidRPr="0027755B">
              <w:rPr>
                <w:rFonts w:asciiTheme="minorHAnsi" w:hAnsiTheme="minorHAnsi" w:cstheme="minorHAnsi"/>
                <w:color w:val="000000"/>
                <w:szCs w:val="21"/>
              </w:rPr>
              <w:t xml:space="preserve"> has been found to be the strongest predictor of gaining open employment for people with intellectual disability and is a critical part of any transition process. It both builds skills and knowledge of the young person, as well as builds expectations of parents and families (Southward &amp; </w:t>
            </w:r>
            <w:proofErr w:type="spellStart"/>
            <w:r w:rsidRPr="0027755B">
              <w:rPr>
                <w:rFonts w:asciiTheme="minorHAnsi" w:hAnsiTheme="minorHAnsi" w:cstheme="minorHAnsi"/>
                <w:color w:val="000000"/>
                <w:szCs w:val="21"/>
              </w:rPr>
              <w:t>Kyzar</w:t>
            </w:r>
            <w:proofErr w:type="spellEnd"/>
            <w:r w:rsidRPr="0027755B">
              <w:rPr>
                <w:rFonts w:asciiTheme="minorHAnsi" w:hAnsiTheme="minorHAnsi" w:cstheme="minorHAnsi"/>
                <w:color w:val="000000"/>
                <w:szCs w:val="21"/>
              </w:rPr>
              <w:t>, 2017).</w:t>
            </w:r>
          </w:p>
        </w:tc>
      </w:tr>
      <w:tr w:rsidR="000C7D2D" w:rsidRPr="0027755B" w14:paraId="1966B001" w14:textId="77777777" w:rsidTr="00341F0F">
        <w:trPr>
          <w:trHeight w:val="338"/>
        </w:trPr>
        <w:tc>
          <w:tcPr>
            <w:tcW w:w="2250" w:type="dxa"/>
          </w:tcPr>
          <w:p w14:paraId="2A53AB3E" w14:textId="77777777" w:rsidR="000C7D2D" w:rsidRPr="0027755B" w:rsidRDefault="000C7D2D" w:rsidP="0027755B">
            <w:pPr>
              <w:snapToGrid w:val="0"/>
              <w:spacing w:line="276" w:lineRule="auto"/>
              <w:rPr>
                <w:rFonts w:asciiTheme="minorHAnsi" w:hAnsiTheme="minorHAnsi" w:cstheme="minorHAnsi"/>
                <w:szCs w:val="21"/>
              </w:rPr>
            </w:pPr>
            <w:r w:rsidRPr="0027755B">
              <w:rPr>
                <w:rFonts w:asciiTheme="minorHAnsi" w:hAnsiTheme="minorHAnsi" w:cstheme="minorHAnsi"/>
                <w:szCs w:val="21"/>
              </w:rPr>
              <w:t>Long term perspective</w:t>
            </w:r>
          </w:p>
        </w:tc>
        <w:tc>
          <w:tcPr>
            <w:tcW w:w="7470" w:type="dxa"/>
          </w:tcPr>
          <w:p w14:paraId="516B3896" w14:textId="1B0F4F08" w:rsidR="000C7D2D" w:rsidRPr="0027755B" w:rsidRDefault="000C7D2D" w:rsidP="0027755B">
            <w:pPr>
              <w:autoSpaceDE w:val="0"/>
              <w:autoSpaceDN w:val="0"/>
              <w:adjustRightInd w:val="0"/>
              <w:spacing w:line="276" w:lineRule="auto"/>
              <w:rPr>
                <w:rFonts w:asciiTheme="minorHAnsi" w:hAnsiTheme="minorHAnsi" w:cstheme="minorHAnsi"/>
                <w:color w:val="000000"/>
                <w:szCs w:val="21"/>
              </w:rPr>
            </w:pPr>
            <w:r w:rsidRPr="0027755B">
              <w:rPr>
                <w:rFonts w:asciiTheme="minorHAnsi" w:hAnsiTheme="minorHAnsi" w:cstheme="minorHAnsi"/>
                <w:color w:val="000000"/>
                <w:szCs w:val="21"/>
              </w:rPr>
              <w:t xml:space="preserve">Career planning should have a </w:t>
            </w:r>
            <w:r w:rsidRPr="0027755B">
              <w:rPr>
                <w:rFonts w:asciiTheme="minorHAnsi" w:hAnsiTheme="minorHAnsi" w:cstheme="minorHAnsi"/>
                <w:b/>
                <w:bCs/>
                <w:color w:val="000000"/>
                <w:szCs w:val="21"/>
              </w:rPr>
              <w:t>long-term perspective</w:t>
            </w:r>
            <w:r w:rsidRPr="0027755B">
              <w:rPr>
                <w:rFonts w:asciiTheme="minorHAnsi" w:hAnsiTheme="minorHAnsi" w:cstheme="minorHAnsi"/>
                <w:color w:val="000000"/>
                <w:szCs w:val="21"/>
              </w:rPr>
              <w:t xml:space="preserve"> that aims to support the person as their needs and aspirations change over time and they mature. </w:t>
            </w:r>
          </w:p>
        </w:tc>
      </w:tr>
    </w:tbl>
    <w:p w14:paraId="137AE438" w14:textId="3166AB17" w:rsidR="00D609BC" w:rsidRDefault="00D609BC" w:rsidP="00CE427B">
      <w:pPr>
        <w:autoSpaceDE w:val="0"/>
        <w:autoSpaceDN w:val="0"/>
        <w:adjustRightInd w:val="0"/>
        <w:spacing w:line="276" w:lineRule="auto"/>
        <w:rPr>
          <w:rFonts w:cs="Calibri"/>
          <w:color w:val="000000"/>
        </w:rPr>
      </w:pPr>
    </w:p>
    <w:p w14:paraId="6C91E141" w14:textId="77777777" w:rsidR="000C7D2D" w:rsidRDefault="000C7D2D" w:rsidP="00CE427B">
      <w:pPr>
        <w:pStyle w:val="Heading2"/>
        <w:spacing w:line="276" w:lineRule="auto"/>
      </w:pPr>
      <w:bookmarkStart w:id="70" w:name="_Toc49417905"/>
      <w:r>
        <w:t>Transition programs/activities that work</w:t>
      </w:r>
      <w:bookmarkEnd w:id="70"/>
    </w:p>
    <w:p w14:paraId="337B5B32" w14:textId="2ADAB973" w:rsidR="000C7D2D" w:rsidRPr="00886271" w:rsidRDefault="000C7D2D" w:rsidP="00886271">
      <w:pPr>
        <w:pStyle w:val="Default"/>
        <w:spacing w:before="120" w:line="276" w:lineRule="auto"/>
        <w:rPr>
          <w:rFonts w:asciiTheme="minorHAnsi" w:hAnsiTheme="minorHAnsi"/>
          <w:sz w:val="21"/>
          <w:szCs w:val="21"/>
        </w:rPr>
      </w:pPr>
      <w:r w:rsidRPr="00886271">
        <w:rPr>
          <w:rFonts w:asciiTheme="minorHAnsi" w:hAnsiTheme="minorHAnsi"/>
          <w:sz w:val="21"/>
          <w:szCs w:val="21"/>
        </w:rPr>
        <w:t xml:space="preserve">There are </w:t>
      </w:r>
      <w:proofErr w:type="gramStart"/>
      <w:r w:rsidRPr="00886271">
        <w:rPr>
          <w:rFonts w:asciiTheme="minorHAnsi" w:hAnsiTheme="minorHAnsi"/>
          <w:sz w:val="21"/>
          <w:szCs w:val="21"/>
        </w:rPr>
        <w:t>a number of</w:t>
      </w:r>
      <w:proofErr w:type="gramEnd"/>
      <w:r w:rsidRPr="00886271">
        <w:rPr>
          <w:rFonts w:asciiTheme="minorHAnsi" w:hAnsiTheme="minorHAnsi"/>
          <w:sz w:val="21"/>
          <w:szCs w:val="21"/>
        </w:rPr>
        <w:t xml:space="preserve"> examples of innovative transition programs that have demonstrated effectiveness in improving pathways for young people with disability to good quality vocationally oriented post school options. These include</w:t>
      </w:r>
      <w:r w:rsidR="00D609BC">
        <w:rPr>
          <w:rFonts w:asciiTheme="minorHAnsi" w:hAnsiTheme="minorHAnsi"/>
          <w:sz w:val="21"/>
          <w:szCs w:val="21"/>
        </w:rPr>
        <w:t>:</w:t>
      </w:r>
      <w:r w:rsidRPr="00886271">
        <w:rPr>
          <w:rFonts w:asciiTheme="minorHAnsi" w:hAnsiTheme="minorHAnsi"/>
          <w:sz w:val="21"/>
          <w:szCs w:val="21"/>
        </w:rPr>
        <w:t xml:space="preserve"> </w:t>
      </w:r>
    </w:p>
    <w:p w14:paraId="1E666C40" w14:textId="4F2A29BB" w:rsidR="000C7D2D" w:rsidRPr="00886271" w:rsidRDefault="000C7D2D" w:rsidP="00886271">
      <w:pPr>
        <w:pStyle w:val="Default"/>
        <w:numPr>
          <w:ilvl w:val="0"/>
          <w:numId w:val="21"/>
        </w:numPr>
        <w:spacing w:before="120" w:line="276" w:lineRule="auto"/>
        <w:rPr>
          <w:rFonts w:asciiTheme="minorHAnsi" w:eastAsia="MS PGothic" w:hAnsiTheme="minorHAnsi"/>
          <w:sz w:val="21"/>
          <w:szCs w:val="21"/>
        </w:rPr>
      </w:pPr>
      <w:r w:rsidRPr="00886271">
        <w:rPr>
          <w:rFonts w:asciiTheme="minorHAnsi" w:eastAsia="MS PGothic" w:hAnsiTheme="minorHAnsi"/>
          <w:sz w:val="21"/>
          <w:szCs w:val="21"/>
        </w:rPr>
        <w:t xml:space="preserve">Ticket to Work </w:t>
      </w:r>
    </w:p>
    <w:p w14:paraId="54471E01" w14:textId="6F3273CB" w:rsidR="000C7D2D" w:rsidRPr="00886271" w:rsidRDefault="000C7D2D" w:rsidP="00886271">
      <w:pPr>
        <w:pStyle w:val="Default"/>
        <w:numPr>
          <w:ilvl w:val="0"/>
          <w:numId w:val="21"/>
        </w:numPr>
        <w:spacing w:before="120" w:line="276" w:lineRule="auto"/>
        <w:rPr>
          <w:rFonts w:asciiTheme="minorHAnsi" w:eastAsia="MS PGothic" w:hAnsiTheme="minorHAnsi"/>
          <w:sz w:val="21"/>
          <w:szCs w:val="21"/>
        </w:rPr>
      </w:pPr>
      <w:r w:rsidRPr="00886271">
        <w:rPr>
          <w:rFonts w:asciiTheme="minorHAnsi" w:eastAsia="MS PGothic" w:hAnsiTheme="minorHAnsi"/>
          <w:sz w:val="21"/>
          <w:szCs w:val="21"/>
        </w:rPr>
        <w:t xml:space="preserve">Project </w:t>
      </w:r>
      <w:r w:rsidR="005F559F" w:rsidRPr="00886271">
        <w:rPr>
          <w:rFonts w:asciiTheme="minorHAnsi" w:eastAsia="MS PGothic" w:hAnsiTheme="minorHAnsi"/>
          <w:sz w:val="21"/>
          <w:szCs w:val="21"/>
        </w:rPr>
        <w:t xml:space="preserve">SEARCH </w:t>
      </w:r>
    </w:p>
    <w:p w14:paraId="4D9EE7A5" w14:textId="77777777" w:rsidR="00950696" w:rsidRPr="00886271" w:rsidRDefault="00950696" w:rsidP="00D609BC">
      <w:pPr>
        <w:pStyle w:val="Default"/>
        <w:spacing w:before="120" w:line="276" w:lineRule="auto"/>
        <w:rPr>
          <w:rFonts w:asciiTheme="minorHAnsi" w:eastAsia="MS PGothic" w:hAnsiTheme="minorHAnsi"/>
          <w:sz w:val="21"/>
          <w:szCs w:val="21"/>
        </w:rPr>
      </w:pPr>
    </w:p>
    <w:p w14:paraId="4756F4D0" w14:textId="453FBE8F" w:rsidR="000C7D2D" w:rsidRPr="00886271" w:rsidRDefault="000C7D2D" w:rsidP="00886271">
      <w:pPr>
        <w:pStyle w:val="Number1"/>
        <w:numPr>
          <w:ilvl w:val="0"/>
          <w:numId w:val="23"/>
        </w:numPr>
        <w:spacing w:before="120"/>
      </w:pPr>
      <w:r w:rsidRPr="00886271">
        <w:t>Ticket to Work</w:t>
      </w:r>
    </w:p>
    <w:p w14:paraId="6DFAB157" w14:textId="77777777" w:rsidR="000C7D2D" w:rsidRPr="00886271" w:rsidRDefault="000C7D2D" w:rsidP="00886271">
      <w:pPr>
        <w:spacing w:line="276" w:lineRule="auto"/>
        <w:rPr>
          <w:szCs w:val="21"/>
        </w:rPr>
      </w:pPr>
      <w:bookmarkStart w:id="71" w:name="_Hlk41851098"/>
      <w:r w:rsidRPr="00886271">
        <w:rPr>
          <w:szCs w:val="21"/>
        </w:rPr>
        <w:t xml:space="preserve">Ticket to Work is a national program of the National Disability Services, Australia, that supports networks of partners in local regions who work to provide opportunities for young people with disability to build employability while they </w:t>
      </w:r>
      <w:r w:rsidRPr="00886271">
        <w:rPr>
          <w:szCs w:val="21"/>
        </w:rPr>
        <w:lastRenderedPageBreak/>
        <w:t>are at school (mainstream or special schools) (ARTD Consultants, 2019). Partners include schools, Disability Employment Services, TAFE/RTOs, employers, disability services and others, who</w:t>
      </w:r>
    </w:p>
    <w:p w14:paraId="45725862" w14:textId="511E5278" w:rsidR="000C7D2D" w:rsidRPr="00886271" w:rsidRDefault="000C7D2D" w:rsidP="00886271">
      <w:pPr>
        <w:spacing w:line="276" w:lineRule="auto"/>
        <w:ind w:left="360"/>
        <w:rPr>
          <w:szCs w:val="21"/>
        </w:rPr>
      </w:pPr>
      <w:r w:rsidRPr="00886271">
        <w:rPr>
          <w:szCs w:val="21"/>
        </w:rPr>
        <w:t>work together to provide young people with access to career development, workplace preparation, work experience, vocational skills and Australian School Based Apprenticeships and Traineeships (</w:t>
      </w:r>
      <w:proofErr w:type="spellStart"/>
      <w:r w:rsidRPr="00886271">
        <w:rPr>
          <w:szCs w:val="21"/>
        </w:rPr>
        <w:t>ASbATs</w:t>
      </w:r>
      <w:proofErr w:type="spellEnd"/>
      <w:r w:rsidRPr="00886271">
        <w:rPr>
          <w:szCs w:val="21"/>
        </w:rPr>
        <w:t>). Essentially each Local Network supports young people with disability to participate in the same ‘typical’ transition to employment activities that their non-disabled peers generally partake in (Wakeford &amp; Waugh, 2014, p. 6)</w:t>
      </w:r>
      <w:r w:rsidR="00B00DBE">
        <w:rPr>
          <w:szCs w:val="21"/>
        </w:rPr>
        <w:t>.</w:t>
      </w:r>
    </w:p>
    <w:p w14:paraId="4EB57228" w14:textId="77777777" w:rsidR="000C7D2D" w:rsidRPr="00886271" w:rsidRDefault="000C7D2D" w:rsidP="00886271">
      <w:pPr>
        <w:spacing w:line="276" w:lineRule="auto"/>
        <w:rPr>
          <w:szCs w:val="21"/>
        </w:rPr>
      </w:pPr>
      <w:bookmarkStart w:id="72" w:name="_Hlk41844905"/>
      <w:r w:rsidRPr="00886271">
        <w:rPr>
          <w:szCs w:val="21"/>
        </w:rPr>
        <w:t>Ticket to Work includes a range of career and employment development activities conducted in school:</w:t>
      </w:r>
    </w:p>
    <w:p w14:paraId="21E9381B" w14:textId="77777777" w:rsidR="000C7D2D" w:rsidRPr="00886271" w:rsidRDefault="000C7D2D" w:rsidP="00886271">
      <w:pPr>
        <w:pStyle w:val="ListParagraph"/>
        <w:numPr>
          <w:ilvl w:val="0"/>
          <w:numId w:val="22"/>
        </w:numPr>
        <w:spacing w:line="276" w:lineRule="auto"/>
        <w:rPr>
          <w:szCs w:val="21"/>
        </w:rPr>
      </w:pPr>
      <w:r w:rsidRPr="00886271">
        <w:rPr>
          <w:szCs w:val="21"/>
        </w:rPr>
        <w:t>Vocational Education and Training at secondary school</w:t>
      </w:r>
    </w:p>
    <w:p w14:paraId="0B1A39E8" w14:textId="77777777" w:rsidR="000C7D2D" w:rsidRPr="00886271" w:rsidRDefault="000C7D2D" w:rsidP="00886271">
      <w:pPr>
        <w:pStyle w:val="ListParagraph"/>
        <w:numPr>
          <w:ilvl w:val="0"/>
          <w:numId w:val="22"/>
        </w:numPr>
        <w:spacing w:line="276" w:lineRule="auto"/>
        <w:rPr>
          <w:szCs w:val="21"/>
        </w:rPr>
      </w:pPr>
      <w:r w:rsidRPr="00886271">
        <w:rPr>
          <w:szCs w:val="21"/>
        </w:rPr>
        <w:t>Australian School based Apprenticeships and Traineeships (</w:t>
      </w:r>
      <w:proofErr w:type="spellStart"/>
      <w:r w:rsidRPr="00886271">
        <w:rPr>
          <w:szCs w:val="21"/>
        </w:rPr>
        <w:t>ASbAT</w:t>
      </w:r>
      <w:proofErr w:type="spellEnd"/>
      <w:r w:rsidRPr="00886271">
        <w:rPr>
          <w:szCs w:val="21"/>
        </w:rPr>
        <w:t>)</w:t>
      </w:r>
    </w:p>
    <w:p w14:paraId="082C2172" w14:textId="77777777" w:rsidR="000C7D2D" w:rsidRPr="00886271" w:rsidRDefault="000C7D2D" w:rsidP="00886271">
      <w:pPr>
        <w:pStyle w:val="ListParagraph"/>
        <w:numPr>
          <w:ilvl w:val="0"/>
          <w:numId w:val="22"/>
        </w:numPr>
        <w:spacing w:line="276" w:lineRule="auto"/>
        <w:rPr>
          <w:szCs w:val="21"/>
        </w:rPr>
      </w:pPr>
      <w:r w:rsidRPr="00886271">
        <w:rPr>
          <w:szCs w:val="21"/>
        </w:rPr>
        <w:t>Work experience/placement</w:t>
      </w:r>
    </w:p>
    <w:p w14:paraId="200BD3AE" w14:textId="77777777" w:rsidR="000C7D2D" w:rsidRPr="00886271" w:rsidRDefault="000C7D2D" w:rsidP="00886271">
      <w:pPr>
        <w:pStyle w:val="ListParagraph"/>
        <w:numPr>
          <w:ilvl w:val="0"/>
          <w:numId w:val="22"/>
        </w:numPr>
        <w:spacing w:line="276" w:lineRule="auto"/>
        <w:rPr>
          <w:szCs w:val="21"/>
        </w:rPr>
      </w:pPr>
      <w:r w:rsidRPr="00886271">
        <w:rPr>
          <w:szCs w:val="21"/>
        </w:rPr>
        <w:t xml:space="preserve">Career development through </w:t>
      </w:r>
      <w:proofErr w:type="spellStart"/>
      <w:r w:rsidRPr="00886271">
        <w:rPr>
          <w:szCs w:val="21"/>
        </w:rPr>
        <w:t>customised</w:t>
      </w:r>
      <w:proofErr w:type="spellEnd"/>
      <w:r w:rsidRPr="00886271">
        <w:rPr>
          <w:szCs w:val="21"/>
        </w:rPr>
        <w:t xml:space="preserve"> employment techniques</w:t>
      </w:r>
    </w:p>
    <w:p w14:paraId="00C475B5" w14:textId="77777777" w:rsidR="000C7D2D" w:rsidRPr="00886271" w:rsidRDefault="000C7D2D" w:rsidP="00886271">
      <w:pPr>
        <w:pStyle w:val="ListParagraph"/>
        <w:numPr>
          <w:ilvl w:val="0"/>
          <w:numId w:val="22"/>
        </w:numPr>
        <w:spacing w:line="276" w:lineRule="auto"/>
        <w:rPr>
          <w:szCs w:val="21"/>
        </w:rPr>
      </w:pPr>
      <w:r w:rsidRPr="00886271">
        <w:rPr>
          <w:szCs w:val="21"/>
        </w:rPr>
        <w:t xml:space="preserve">After </w:t>
      </w:r>
      <w:proofErr w:type="gramStart"/>
      <w:r w:rsidRPr="00886271">
        <w:rPr>
          <w:szCs w:val="21"/>
        </w:rPr>
        <w:t>school work</w:t>
      </w:r>
      <w:proofErr w:type="gramEnd"/>
    </w:p>
    <w:p w14:paraId="0BE45CC6" w14:textId="77777777" w:rsidR="000C7D2D" w:rsidRPr="00886271" w:rsidRDefault="000C7D2D" w:rsidP="00886271">
      <w:pPr>
        <w:pStyle w:val="ListParagraph"/>
        <w:numPr>
          <w:ilvl w:val="0"/>
          <w:numId w:val="22"/>
        </w:numPr>
        <w:spacing w:line="276" w:lineRule="auto"/>
        <w:rPr>
          <w:szCs w:val="21"/>
        </w:rPr>
      </w:pPr>
      <w:r w:rsidRPr="00886271">
        <w:rPr>
          <w:szCs w:val="21"/>
        </w:rPr>
        <w:t>Self-employment during secondary school (microbusiness) (ARTD Consultants, 2019, p. 8).</w:t>
      </w:r>
    </w:p>
    <w:p w14:paraId="52C7DE5D" w14:textId="4613B566" w:rsidR="000C7D2D" w:rsidRPr="00886271" w:rsidRDefault="000C7D2D" w:rsidP="00886271">
      <w:pPr>
        <w:spacing w:line="276" w:lineRule="auto"/>
        <w:rPr>
          <w:szCs w:val="21"/>
        </w:rPr>
      </w:pPr>
      <w:r w:rsidRPr="00886271">
        <w:rPr>
          <w:szCs w:val="21"/>
        </w:rPr>
        <w:t xml:space="preserve">Ticket to Work participants (around 53% of those being young people with intellectual disability) have been supported to undertake the majority of their vocational training ‘on the job’ as much as possible </w:t>
      </w:r>
      <w:r w:rsidR="00593F92" w:rsidRPr="00886271">
        <w:rPr>
          <w:szCs w:val="21"/>
        </w:rPr>
        <w:t>“</w:t>
      </w:r>
      <w:r w:rsidRPr="00886271">
        <w:rPr>
          <w:rFonts w:cs="Arial"/>
          <w:szCs w:val="21"/>
        </w:rPr>
        <w:t>demonstrating competency by actually undertaking tasks in the workplace setting</w:t>
      </w:r>
      <w:r w:rsidR="00593F92" w:rsidRPr="00886271">
        <w:rPr>
          <w:rFonts w:cs="Arial"/>
          <w:szCs w:val="21"/>
        </w:rPr>
        <w:t>”</w:t>
      </w:r>
      <w:r w:rsidRPr="00886271">
        <w:rPr>
          <w:rFonts w:cs="Arial"/>
          <w:szCs w:val="21"/>
        </w:rPr>
        <w:t xml:space="preserve"> which leads to better employment outcomes for young people with intellectual disability</w:t>
      </w:r>
      <w:bookmarkEnd w:id="72"/>
      <w:r w:rsidRPr="00886271">
        <w:rPr>
          <w:rFonts w:cs="Arial"/>
          <w:szCs w:val="21"/>
        </w:rPr>
        <w:t xml:space="preserve"> (Wakeford &amp; Waugh, 2014, p.</w:t>
      </w:r>
      <w:r w:rsidR="00AB54CB" w:rsidRPr="00886271">
        <w:rPr>
          <w:rFonts w:cs="Arial"/>
          <w:szCs w:val="21"/>
        </w:rPr>
        <w:t xml:space="preserve"> </w:t>
      </w:r>
      <w:r w:rsidRPr="00886271">
        <w:rPr>
          <w:rFonts w:cs="Arial"/>
          <w:szCs w:val="21"/>
        </w:rPr>
        <w:t>23).</w:t>
      </w:r>
    </w:p>
    <w:p w14:paraId="58AA713C" w14:textId="5EA2B3CA" w:rsidR="000C7D2D" w:rsidRPr="00886271" w:rsidRDefault="000C7D2D" w:rsidP="00886271">
      <w:pPr>
        <w:spacing w:line="276" w:lineRule="auto"/>
        <w:rPr>
          <w:szCs w:val="21"/>
        </w:rPr>
      </w:pPr>
      <w:r w:rsidRPr="00886271">
        <w:rPr>
          <w:szCs w:val="21"/>
        </w:rPr>
        <w:t xml:space="preserve">Two evaluations of Ticket to Work have evidenced that it is a successful transition model, with participants being more likely to be employed (64%) than the comparison group (33%), as well as be more likely to complete year 12, undertake </w:t>
      </w:r>
      <w:r w:rsidR="007C28F6" w:rsidRPr="00886271">
        <w:rPr>
          <w:szCs w:val="21"/>
        </w:rPr>
        <w:t>post-secondary</w:t>
      </w:r>
      <w:r w:rsidRPr="00886271">
        <w:rPr>
          <w:szCs w:val="21"/>
        </w:rPr>
        <w:t xml:space="preserve"> education, be more socially active and more independent (ARTD Consultants, 2019).</w:t>
      </w:r>
    </w:p>
    <w:p w14:paraId="0BC58AB1" w14:textId="77777777" w:rsidR="000C7D2D" w:rsidRPr="00886271" w:rsidRDefault="000C7D2D" w:rsidP="00886271">
      <w:pPr>
        <w:spacing w:line="276" w:lineRule="auto"/>
        <w:rPr>
          <w:szCs w:val="21"/>
        </w:rPr>
      </w:pPr>
    </w:p>
    <w:p w14:paraId="1DC6EC0E" w14:textId="3D2372F9" w:rsidR="000C7D2D" w:rsidRPr="00886271" w:rsidRDefault="000C7D2D" w:rsidP="00886271">
      <w:pPr>
        <w:pStyle w:val="Number1"/>
        <w:numPr>
          <w:ilvl w:val="0"/>
          <w:numId w:val="23"/>
        </w:numPr>
        <w:spacing w:before="120"/>
      </w:pPr>
      <w:bookmarkStart w:id="73" w:name="_Hlk41837686"/>
      <w:bookmarkEnd w:id="71"/>
      <w:r w:rsidRPr="00886271">
        <w:t xml:space="preserve">Project </w:t>
      </w:r>
      <w:r w:rsidR="005F559F" w:rsidRPr="00886271">
        <w:t>SEARCH</w:t>
      </w:r>
    </w:p>
    <w:p w14:paraId="3FECF86D" w14:textId="7F34854E" w:rsidR="000C7D2D" w:rsidRPr="00886271" w:rsidRDefault="000C7D2D" w:rsidP="00886271">
      <w:pPr>
        <w:spacing w:line="276" w:lineRule="auto"/>
        <w:rPr>
          <w:szCs w:val="21"/>
        </w:rPr>
      </w:pPr>
      <w:r w:rsidRPr="00886271">
        <w:rPr>
          <w:szCs w:val="21"/>
        </w:rPr>
        <w:t xml:space="preserve">The Project SEARCH Transition-to-Work Program originated in the United States with a primary target of assisting young people with intellectual disability. It is a </w:t>
      </w:r>
      <w:r w:rsidR="001B7A33">
        <w:rPr>
          <w:szCs w:val="21"/>
        </w:rPr>
        <w:t>“</w:t>
      </w:r>
      <w:r w:rsidRPr="00886271">
        <w:rPr>
          <w:szCs w:val="21"/>
        </w:rPr>
        <w:t>business-led, one-year employment preparation program that takes place entirely at the workplace</w:t>
      </w:r>
      <w:r w:rsidR="001B7A33">
        <w:rPr>
          <w:szCs w:val="21"/>
        </w:rPr>
        <w:t>”</w:t>
      </w:r>
      <w:r w:rsidRPr="00886271">
        <w:rPr>
          <w:szCs w:val="21"/>
        </w:rPr>
        <w:t xml:space="preserve"> (</w:t>
      </w:r>
      <w:r w:rsidR="00EE6FE8">
        <w:rPr>
          <w:szCs w:val="21"/>
        </w:rPr>
        <w:t>Project SEARCH, n.d.</w:t>
      </w:r>
      <w:r w:rsidR="00F40C89">
        <w:rPr>
          <w:szCs w:val="21"/>
        </w:rPr>
        <w:t>)</w:t>
      </w:r>
      <w:r w:rsidR="008233C7">
        <w:rPr>
          <w:szCs w:val="21"/>
        </w:rPr>
        <w:t xml:space="preserve"> </w:t>
      </w:r>
      <w:r w:rsidRPr="00886271">
        <w:rPr>
          <w:szCs w:val="21"/>
        </w:rPr>
        <w:t>combining classroom-based training (onsite in the workplace), career exploration, and a range of work experience through worksite rotations.</w:t>
      </w:r>
      <w:r w:rsidRPr="00886271">
        <w:rPr>
          <w:rFonts w:cs="Calibri"/>
          <w:color w:val="000000"/>
          <w:szCs w:val="21"/>
        </w:rPr>
        <w:t xml:space="preserve"> In the original model in the US, students in the last year of secondary school rotate through three different internships of 10-12 weeks each. The focus is on intensive on-the-job training supplemented by classroom learning (</w:t>
      </w:r>
      <w:proofErr w:type="spellStart"/>
      <w:r w:rsidRPr="00886271">
        <w:rPr>
          <w:rFonts w:cs="Calibri"/>
          <w:color w:val="000000"/>
          <w:szCs w:val="21"/>
        </w:rPr>
        <w:t>Wehman</w:t>
      </w:r>
      <w:proofErr w:type="spellEnd"/>
      <w:r w:rsidRPr="00886271">
        <w:rPr>
          <w:rFonts w:cs="Calibri"/>
          <w:color w:val="000000"/>
          <w:szCs w:val="21"/>
        </w:rPr>
        <w:t xml:space="preserve"> et al.</w:t>
      </w:r>
      <w:r w:rsidR="002B18B6" w:rsidRPr="00886271">
        <w:rPr>
          <w:rFonts w:cs="Calibri"/>
          <w:color w:val="000000"/>
          <w:szCs w:val="21"/>
        </w:rPr>
        <w:t>,</w:t>
      </w:r>
      <w:r w:rsidRPr="00886271">
        <w:rPr>
          <w:rFonts w:cs="Calibri"/>
          <w:color w:val="000000"/>
          <w:szCs w:val="21"/>
        </w:rPr>
        <w:t xml:space="preserve"> 2018)</w:t>
      </w:r>
      <w:r w:rsidRPr="00886271">
        <w:rPr>
          <w:szCs w:val="21"/>
        </w:rPr>
        <w:t>.</w:t>
      </w:r>
      <w:r w:rsidRPr="00886271">
        <w:rPr>
          <w:rFonts w:cs="Calibri"/>
          <w:color w:val="000000"/>
          <w:szCs w:val="21"/>
        </w:rPr>
        <w:t xml:space="preserve"> Project </w:t>
      </w:r>
      <w:r w:rsidR="00C2527A" w:rsidRPr="00886271">
        <w:rPr>
          <w:rFonts w:cs="Calibri"/>
          <w:color w:val="000000"/>
          <w:szCs w:val="21"/>
        </w:rPr>
        <w:t xml:space="preserve">SEARCH </w:t>
      </w:r>
      <w:r w:rsidRPr="00886271">
        <w:rPr>
          <w:rFonts w:cs="Calibri"/>
          <w:color w:val="000000"/>
          <w:szCs w:val="21"/>
        </w:rPr>
        <w:t xml:space="preserve">has been widely evaluated and achieves on average employment rates of 83% (Christensen </w:t>
      </w:r>
      <w:r w:rsidR="00A24927" w:rsidRPr="00886271">
        <w:rPr>
          <w:rFonts w:cs="Calibri"/>
          <w:color w:val="000000"/>
          <w:szCs w:val="21"/>
        </w:rPr>
        <w:t xml:space="preserve">&amp; </w:t>
      </w:r>
      <w:r w:rsidR="00A24927" w:rsidRPr="00886271">
        <w:rPr>
          <w:rFonts w:asciiTheme="minorHAnsi" w:hAnsiTheme="minorHAnsi" w:cstheme="minorHAnsi"/>
          <w:szCs w:val="21"/>
        </w:rPr>
        <w:t>Richardson,</w:t>
      </w:r>
      <w:r w:rsidRPr="00886271">
        <w:rPr>
          <w:rFonts w:cs="Calibri"/>
          <w:color w:val="000000"/>
          <w:szCs w:val="21"/>
        </w:rPr>
        <w:t xml:space="preserve"> 2017). The model has been extended to multiple countries including the UK, where it is part of a </w:t>
      </w:r>
      <w:r w:rsidR="008F2EC1">
        <w:rPr>
          <w:rFonts w:cs="Calibri"/>
          <w:color w:val="000000"/>
          <w:szCs w:val="21"/>
        </w:rPr>
        <w:t>“</w:t>
      </w:r>
      <w:r w:rsidRPr="00886271">
        <w:rPr>
          <w:szCs w:val="21"/>
        </w:rPr>
        <w:t>supported internship</w:t>
      </w:r>
      <w:r w:rsidR="008F2EC1">
        <w:rPr>
          <w:szCs w:val="21"/>
        </w:rPr>
        <w:t>”</w:t>
      </w:r>
      <w:r w:rsidRPr="00886271">
        <w:rPr>
          <w:szCs w:val="21"/>
        </w:rPr>
        <w:t xml:space="preserve"> approach. These programs are </w:t>
      </w:r>
      <w:r w:rsidR="00A31D7F">
        <w:rPr>
          <w:szCs w:val="21"/>
        </w:rPr>
        <w:t>“</w:t>
      </w:r>
      <w:r w:rsidRPr="00886271">
        <w:rPr>
          <w:szCs w:val="21"/>
        </w:rPr>
        <w:t xml:space="preserve">based mainly on employers' premises, with some time in college or a classroom in the workplace. Support throughout the study </w:t>
      </w:r>
      <w:proofErr w:type="spellStart"/>
      <w:r w:rsidRPr="00886271">
        <w:rPr>
          <w:szCs w:val="21"/>
        </w:rPr>
        <w:t>programme</w:t>
      </w:r>
      <w:proofErr w:type="spellEnd"/>
      <w:r w:rsidRPr="00886271">
        <w:rPr>
          <w:szCs w:val="21"/>
        </w:rPr>
        <w:t xml:space="preserve"> is provided to both the young person and the employer through a Job Coach</w:t>
      </w:r>
      <w:r w:rsidR="00A31D7F">
        <w:rPr>
          <w:szCs w:val="21"/>
        </w:rPr>
        <w:t>”</w:t>
      </w:r>
      <w:r w:rsidRPr="00886271">
        <w:rPr>
          <w:szCs w:val="21"/>
        </w:rPr>
        <w:t xml:space="preserve"> </w:t>
      </w:r>
      <w:r w:rsidR="00D73998">
        <w:rPr>
          <w:szCs w:val="21"/>
        </w:rPr>
        <w:t>(Preparing for Adulthood, n.d.)</w:t>
      </w:r>
      <w:r w:rsidRPr="00886271">
        <w:rPr>
          <w:szCs w:val="21"/>
        </w:rPr>
        <w:t xml:space="preserve">. Project </w:t>
      </w:r>
      <w:r w:rsidR="00AF723D" w:rsidRPr="00886271">
        <w:rPr>
          <w:szCs w:val="21"/>
        </w:rPr>
        <w:t xml:space="preserve">SEARCH </w:t>
      </w:r>
      <w:r w:rsidRPr="00886271">
        <w:rPr>
          <w:szCs w:val="21"/>
        </w:rPr>
        <w:t xml:space="preserve">or ‘supported internships’ for young people with intellectual disability have been running in the UK for approximately 8 years with significant employment results </w:t>
      </w:r>
      <w:r w:rsidRPr="00886271">
        <w:rPr>
          <w:color w:val="000000" w:themeColor="text1"/>
          <w:szCs w:val="21"/>
        </w:rPr>
        <w:t>(</w:t>
      </w:r>
      <w:r w:rsidR="00FE76BF">
        <w:rPr>
          <w:szCs w:val="21"/>
        </w:rPr>
        <w:t>Br</w:t>
      </w:r>
      <w:r w:rsidR="00FA07AA">
        <w:rPr>
          <w:szCs w:val="21"/>
        </w:rPr>
        <w:t xml:space="preserve">ine &amp; Kiernan, n.d.). </w:t>
      </w:r>
    </w:p>
    <w:p w14:paraId="77A25B07" w14:textId="399B22A8" w:rsidR="000C7D2D" w:rsidRPr="00886271" w:rsidRDefault="000C7D2D" w:rsidP="00886271">
      <w:pPr>
        <w:pStyle w:val="Number2"/>
        <w:numPr>
          <w:ilvl w:val="0"/>
          <w:numId w:val="0"/>
        </w:numPr>
        <w:spacing w:before="120"/>
        <w:rPr>
          <w:szCs w:val="21"/>
        </w:rPr>
      </w:pPr>
      <w:r w:rsidRPr="00886271">
        <w:rPr>
          <w:szCs w:val="21"/>
        </w:rPr>
        <w:t xml:space="preserve">a) Integrated Practical Placement (IPP) program </w:t>
      </w:r>
    </w:p>
    <w:p w14:paraId="2A8B0EDC" w14:textId="04A6AB0A" w:rsidR="000C7D2D" w:rsidRPr="00886271" w:rsidRDefault="000C7D2D" w:rsidP="00886271">
      <w:pPr>
        <w:spacing w:line="276" w:lineRule="auto"/>
        <w:rPr>
          <w:szCs w:val="21"/>
        </w:rPr>
      </w:pPr>
      <w:r w:rsidRPr="00886271">
        <w:rPr>
          <w:szCs w:val="21"/>
        </w:rPr>
        <w:t xml:space="preserve">A similar program, adapting the Project Search model, has been run in Australia. The Integrated Practical Placement (IPP) program has been run twice by the Royal Children’s Hospital Melbourne and </w:t>
      </w:r>
      <w:proofErr w:type="spellStart"/>
      <w:r w:rsidRPr="00886271">
        <w:rPr>
          <w:szCs w:val="21"/>
        </w:rPr>
        <w:t>Holm</w:t>
      </w:r>
      <w:r w:rsidR="001C7564" w:rsidRPr="00886271">
        <w:rPr>
          <w:szCs w:val="21"/>
        </w:rPr>
        <w:t>e</w:t>
      </w:r>
      <w:r w:rsidRPr="00886271">
        <w:rPr>
          <w:szCs w:val="21"/>
        </w:rPr>
        <w:t>sglen</w:t>
      </w:r>
      <w:proofErr w:type="spellEnd"/>
      <w:r w:rsidRPr="00886271">
        <w:rPr>
          <w:szCs w:val="21"/>
        </w:rPr>
        <w:t xml:space="preserve"> (TAFE) in 2018 and 2019 for 10-12 students with ‘learning disability’ undertaking Certificate 1 in Work Education (</w:t>
      </w:r>
      <w:r w:rsidR="00EA1233">
        <w:rPr>
          <w:szCs w:val="21"/>
        </w:rPr>
        <w:t>WISE Employment, n.d.</w:t>
      </w:r>
      <w:r w:rsidRPr="00886271">
        <w:rPr>
          <w:szCs w:val="21"/>
        </w:rPr>
        <w:t xml:space="preserve">).  Students completed three nine-week placements within the hospital during the year including in the areas of human resources, medical records, allied health, volunteer and family services, the early learning </w:t>
      </w:r>
      <w:proofErr w:type="spellStart"/>
      <w:r w:rsidRPr="00886271">
        <w:rPr>
          <w:szCs w:val="21"/>
        </w:rPr>
        <w:t>centre</w:t>
      </w:r>
      <w:proofErr w:type="spellEnd"/>
      <w:r w:rsidRPr="00886271">
        <w:rPr>
          <w:szCs w:val="21"/>
        </w:rPr>
        <w:t>, kitchen, mailroom and equipment departments (</w:t>
      </w:r>
      <w:proofErr w:type="spellStart"/>
      <w:r w:rsidR="00C231E5">
        <w:rPr>
          <w:szCs w:val="21"/>
        </w:rPr>
        <w:t>Holmesglen</w:t>
      </w:r>
      <w:proofErr w:type="spellEnd"/>
      <w:r w:rsidR="00C231E5">
        <w:rPr>
          <w:szCs w:val="21"/>
        </w:rPr>
        <w:t>, n.d.</w:t>
      </w:r>
      <w:r w:rsidRPr="00886271">
        <w:rPr>
          <w:szCs w:val="21"/>
        </w:rPr>
        <w:t xml:space="preserve">). An independent evaluation found that 80% of students of IPP attained paid employment or paid traineeships compared to 35% who completed the Certificate in the usual </w:t>
      </w:r>
      <w:r w:rsidRPr="00886271">
        <w:rPr>
          <w:szCs w:val="21"/>
        </w:rPr>
        <w:lastRenderedPageBreak/>
        <w:t>TAFE setting without being part of the IPP program. IPP participants also experienced other outcomes such as increased confidence, independence and maturity (White et al., 201</w:t>
      </w:r>
      <w:r w:rsidR="00085C16">
        <w:rPr>
          <w:szCs w:val="21"/>
        </w:rPr>
        <w:t>9</w:t>
      </w:r>
      <w:r w:rsidRPr="00886271">
        <w:rPr>
          <w:szCs w:val="21"/>
        </w:rPr>
        <w:t>). Recommendations of the evaluation suggest that this ‘gold standard’ program is suited to large scale employers of 3000 of more which afford a variety of placement opportunities for students (White et al., 201</w:t>
      </w:r>
      <w:r w:rsidR="00085C16">
        <w:rPr>
          <w:szCs w:val="21"/>
        </w:rPr>
        <w:t>9</w:t>
      </w:r>
      <w:r w:rsidRPr="00886271">
        <w:rPr>
          <w:szCs w:val="21"/>
        </w:rPr>
        <w:t>).</w:t>
      </w:r>
    </w:p>
    <w:bookmarkEnd w:id="73"/>
    <w:p w14:paraId="33C5D661" w14:textId="77777777" w:rsidR="000C7D2D" w:rsidRPr="00886271" w:rsidRDefault="000C7D2D" w:rsidP="00886271">
      <w:pPr>
        <w:autoSpaceDE w:val="0"/>
        <w:autoSpaceDN w:val="0"/>
        <w:adjustRightInd w:val="0"/>
        <w:spacing w:line="276" w:lineRule="auto"/>
        <w:ind w:left="360"/>
        <w:rPr>
          <w:szCs w:val="21"/>
        </w:rPr>
      </w:pPr>
    </w:p>
    <w:p w14:paraId="1B378E80" w14:textId="77777777" w:rsidR="002F25FD" w:rsidRDefault="002F25FD" w:rsidP="00CE427B">
      <w:pPr>
        <w:autoSpaceDE w:val="0"/>
        <w:autoSpaceDN w:val="0"/>
        <w:adjustRightInd w:val="0"/>
        <w:spacing w:line="276" w:lineRule="auto"/>
        <w:ind w:left="720" w:hanging="720"/>
        <w:rPr>
          <w:rFonts w:cs="Times-Roman"/>
        </w:rPr>
        <w:sectPr w:rsidR="002F25FD" w:rsidSect="008926C2">
          <w:pgSz w:w="11909" w:h="16834" w:code="9"/>
          <w:pgMar w:top="964" w:right="964" w:bottom="964" w:left="964" w:header="432" w:footer="720" w:gutter="0"/>
          <w:cols w:space="720"/>
          <w:docGrid w:linePitch="360"/>
        </w:sectPr>
      </w:pPr>
    </w:p>
    <w:p w14:paraId="117C9A56" w14:textId="22C39791" w:rsidR="00DC6F4D" w:rsidRDefault="00DC6F4D" w:rsidP="00CE427B">
      <w:pPr>
        <w:pStyle w:val="Heading1"/>
        <w:pBdr>
          <w:bottom w:val="single" w:sz="4" w:space="1" w:color="auto"/>
        </w:pBdr>
        <w:spacing w:line="276" w:lineRule="auto"/>
      </w:pPr>
      <w:bookmarkStart w:id="74" w:name="_Toc49462467"/>
      <w:r>
        <w:lastRenderedPageBreak/>
        <w:t>evidence piece 7:</w:t>
      </w:r>
      <w:bookmarkEnd w:id="74"/>
    </w:p>
    <w:p w14:paraId="69EB9022" w14:textId="6B4D2955" w:rsidR="00DC6F4D" w:rsidRDefault="00DC6F4D" w:rsidP="00CE427B">
      <w:pPr>
        <w:pStyle w:val="Heading1"/>
        <w:pBdr>
          <w:bottom w:val="single" w:sz="4" w:space="1" w:color="auto"/>
        </w:pBdr>
        <w:spacing w:line="276" w:lineRule="auto"/>
      </w:pPr>
      <w:bookmarkStart w:id="75" w:name="_Toc49462468"/>
      <w:r>
        <w:t>The role of vocational education and training in</w:t>
      </w:r>
      <w:r w:rsidRPr="001744F5">
        <w:t xml:space="preserve"> employment </w:t>
      </w:r>
      <w:r>
        <w:t xml:space="preserve">and other </w:t>
      </w:r>
      <w:r w:rsidRPr="001744F5">
        <w:t>outcomes for people with intellectual disability</w:t>
      </w:r>
      <w:bookmarkEnd w:id="75"/>
    </w:p>
    <w:p w14:paraId="3F05A2BD" w14:textId="77777777" w:rsidR="008926C2" w:rsidRPr="008926C2" w:rsidRDefault="008926C2" w:rsidP="00CE427B"/>
    <w:p w14:paraId="0D05626A" w14:textId="77777777" w:rsidR="00DC6F4D" w:rsidRDefault="00DC6F4D" w:rsidP="00CE427B">
      <w:pPr>
        <w:pStyle w:val="Heading2"/>
        <w:spacing w:after="120" w:line="276" w:lineRule="auto"/>
      </w:pPr>
      <w:bookmarkStart w:id="76" w:name="_Toc49417908"/>
      <w:r>
        <w:t>The right to post-secondary education</w:t>
      </w:r>
      <w:bookmarkEnd w:id="76"/>
    </w:p>
    <w:p w14:paraId="229D2BDD" w14:textId="7CE4C5F4" w:rsidR="00DC6F4D" w:rsidRPr="00CD693C" w:rsidRDefault="00DC6F4D" w:rsidP="00CD693C">
      <w:pPr>
        <w:spacing w:line="276" w:lineRule="auto"/>
        <w:rPr>
          <w:szCs w:val="21"/>
        </w:rPr>
      </w:pPr>
      <w:r w:rsidRPr="00CD693C">
        <w:rPr>
          <w:szCs w:val="21"/>
        </w:rPr>
        <w:t xml:space="preserve">Australia is a signatory to the United Nations Convention on the Rights of Persons with Disabilities (UN, 2006), and has agreed to implement these rights in Australia. The UNCRPD, Article 24, affirms the right of people with disability to </w:t>
      </w:r>
      <w:r w:rsidR="00B10E0B" w:rsidRPr="00CD693C">
        <w:rPr>
          <w:szCs w:val="21"/>
        </w:rPr>
        <w:t>“</w:t>
      </w:r>
      <w:r w:rsidRPr="00CD693C">
        <w:rPr>
          <w:szCs w:val="21"/>
        </w:rPr>
        <w:t>access general tertiary education, vocational training, adult education and lifelong learning without discrimination and on an equal basis with others</w:t>
      </w:r>
      <w:r w:rsidR="000F7977">
        <w:rPr>
          <w:szCs w:val="21"/>
        </w:rPr>
        <w:t>.</w:t>
      </w:r>
      <w:r w:rsidR="00B10E0B" w:rsidRPr="00CD693C">
        <w:rPr>
          <w:szCs w:val="21"/>
        </w:rPr>
        <w:t>”</w:t>
      </w:r>
      <w:r w:rsidRPr="00CD693C">
        <w:rPr>
          <w:szCs w:val="21"/>
        </w:rPr>
        <w:t xml:space="preserve"> Various Australian </w:t>
      </w:r>
      <w:r w:rsidR="00F10E14" w:rsidRPr="00CD693C">
        <w:rPr>
          <w:szCs w:val="21"/>
        </w:rPr>
        <w:t>G</w:t>
      </w:r>
      <w:r w:rsidRPr="00CD693C">
        <w:rPr>
          <w:szCs w:val="21"/>
        </w:rPr>
        <w:t>overnment policy and legislation echoes this right including the Australian Disability Standards for Education (</w:t>
      </w:r>
      <w:r w:rsidR="00A93E5C" w:rsidRPr="00CD693C">
        <w:rPr>
          <w:rFonts w:asciiTheme="minorHAnsi" w:hAnsiTheme="minorHAnsi" w:cstheme="minorHAnsi"/>
          <w:szCs w:val="21"/>
        </w:rPr>
        <w:t>Department of Education, Skills and Employment</w:t>
      </w:r>
      <w:r w:rsidRPr="00CD693C">
        <w:rPr>
          <w:szCs w:val="21"/>
        </w:rPr>
        <w:t xml:space="preserve">, 2005) </w:t>
      </w:r>
      <w:r w:rsidR="004D2071">
        <w:rPr>
          <w:szCs w:val="21"/>
        </w:rPr>
        <w:t>which supply “a framework to ensure</w:t>
      </w:r>
      <w:r w:rsidRPr="00CD693C">
        <w:rPr>
          <w:szCs w:val="21"/>
        </w:rPr>
        <w:t xml:space="preserve"> that students with disability are able to access and participate in education on the same basis as other students</w:t>
      </w:r>
      <w:r w:rsidR="005938C0" w:rsidRPr="00CD693C">
        <w:rPr>
          <w:szCs w:val="21"/>
        </w:rPr>
        <w:t>”</w:t>
      </w:r>
      <w:r w:rsidRPr="00CD693C">
        <w:rPr>
          <w:szCs w:val="21"/>
        </w:rPr>
        <w:t xml:space="preserve"> (</w:t>
      </w:r>
      <w:r w:rsidR="004D2071">
        <w:rPr>
          <w:szCs w:val="21"/>
        </w:rPr>
        <w:t>Department of Education and Training, 2015</w:t>
      </w:r>
      <w:r w:rsidR="00AB2647">
        <w:rPr>
          <w:szCs w:val="21"/>
        </w:rPr>
        <w:t>,</w:t>
      </w:r>
      <w:r w:rsidR="004D2071">
        <w:rPr>
          <w:szCs w:val="21"/>
        </w:rPr>
        <w:t xml:space="preserve"> </w:t>
      </w:r>
      <w:r w:rsidR="004D2071" w:rsidRPr="00CD693C">
        <w:rPr>
          <w:szCs w:val="21"/>
        </w:rPr>
        <w:t xml:space="preserve">p. </w:t>
      </w:r>
      <w:r w:rsidR="004D2071">
        <w:rPr>
          <w:szCs w:val="21"/>
        </w:rPr>
        <w:t>1</w:t>
      </w:r>
      <w:r w:rsidRPr="00CD693C">
        <w:rPr>
          <w:szCs w:val="21"/>
        </w:rPr>
        <w:t xml:space="preserve">).  </w:t>
      </w:r>
    </w:p>
    <w:p w14:paraId="02A88F56" w14:textId="77777777" w:rsidR="00DC6F4D" w:rsidRDefault="00DC6F4D" w:rsidP="00CE427B">
      <w:pPr>
        <w:pStyle w:val="Heading2"/>
        <w:spacing w:after="120" w:line="276" w:lineRule="auto"/>
      </w:pPr>
      <w:bookmarkStart w:id="77" w:name="_Toc49417909"/>
      <w:r>
        <w:t>What are the post-secondary education options?</w:t>
      </w:r>
      <w:bookmarkEnd w:id="77"/>
    </w:p>
    <w:p w14:paraId="178F85C0" w14:textId="072C3745" w:rsidR="00DC6F4D" w:rsidRPr="00CD693C" w:rsidRDefault="00DC6F4D" w:rsidP="00CD693C">
      <w:pPr>
        <w:spacing w:line="276" w:lineRule="auto"/>
        <w:rPr>
          <w:szCs w:val="21"/>
        </w:rPr>
      </w:pPr>
      <w:r w:rsidRPr="00CD693C">
        <w:rPr>
          <w:szCs w:val="21"/>
        </w:rPr>
        <w:t xml:space="preserve">There are two main post-school education options in Australia: tertiary or </w:t>
      </w:r>
      <w:r w:rsidR="000F7977">
        <w:rPr>
          <w:szCs w:val="21"/>
        </w:rPr>
        <w:t>u</w:t>
      </w:r>
      <w:r w:rsidRPr="00CD693C">
        <w:rPr>
          <w:szCs w:val="21"/>
        </w:rPr>
        <w:t xml:space="preserve">niversity level education, and vocational education and training (VET) often known as TAFE. However, it is important to note that while these are called ‘post-secondary’, there are opportunities to commence some of these options whilst still undertaking secondary education in mainstream or special schools.  </w:t>
      </w:r>
    </w:p>
    <w:p w14:paraId="780AD05E" w14:textId="57EAB347" w:rsidR="00DC6F4D" w:rsidRPr="000C3B00" w:rsidRDefault="00DC6F4D" w:rsidP="00CE427B">
      <w:pPr>
        <w:pStyle w:val="Heading2"/>
      </w:pPr>
      <w:bookmarkStart w:id="78" w:name="_Toc49417910"/>
      <w:r w:rsidRPr="000C3B00">
        <w:t>Vocational Education and Training</w:t>
      </w:r>
      <w:bookmarkEnd w:id="78"/>
    </w:p>
    <w:p w14:paraId="51E8B124" w14:textId="268E4FA1" w:rsidR="00DC6F4D" w:rsidRPr="00CD693C" w:rsidRDefault="00DC6F4D" w:rsidP="00CD693C">
      <w:pPr>
        <w:spacing w:line="276" w:lineRule="auto"/>
        <w:rPr>
          <w:szCs w:val="21"/>
        </w:rPr>
      </w:pPr>
      <w:r w:rsidRPr="00CD693C">
        <w:rPr>
          <w:szCs w:val="21"/>
        </w:rPr>
        <w:t xml:space="preserve">Australia’s Vocational Education and Training (VET) sector is based on a partnership between governments, industry and other stakeholders. </w:t>
      </w:r>
      <w:r w:rsidR="002F45FE" w:rsidRPr="00CD693C">
        <w:rPr>
          <w:szCs w:val="21"/>
        </w:rPr>
        <w:t>“</w:t>
      </w:r>
      <w:r w:rsidRPr="00CD693C">
        <w:rPr>
          <w:rStyle w:val="BodyTextChar"/>
          <w:rFonts w:asciiTheme="minorHAnsi" w:eastAsiaTheme="minorHAnsi" w:hAnsiTheme="minorHAnsi"/>
          <w:szCs w:val="21"/>
        </w:rPr>
        <w:t>The VET system provides training for entry level jobs through to highly technical occupations, but also provides training for non</w:t>
      </w:r>
      <w:r w:rsidRPr="00CD693C">
        <w:rPr>
          <w:rStyle w:val="BodyTextChar"/>
          <w:rFonts w:asciiTheme="minorHAnsi" w:eastAsiaTheme="minorHAnsi" w:hAnsiTheme="minorHAnsi"/>
          <w:szCs w:val="21"/>
        </w:rPr>
        <w:noBreakHyphen/>
        <w:t>employment related reasons</w:t>
      </w:r>
      <w:r w:rsidR="002F45FE" w:rsidRPr="00CD693C">
        <w:rPr>
          <w:rStyle w:val="BodyTextChar"/>
          <w:rFonts w:asciiTheme="minorHAnsi" w:eastAsiaTheme="minorHAnsi" w:hAnsiTheme="minorHAnsi"/>
          <w:szCs w:val="21"/>
        </w:rPr>
        <w:t>”</w:t>
      </w:r>
      <w:r w:rsidRPr="00CD693C">
        <w:rPr>
          <w:rStyle w:val="BodyTextChar"/>
          <w:rFonts w:asciiTheme="minorHAnsi" w:eastAsiaTheme="minorHAnsi" w:hAnsiTheme="minorHAnsi"/>
          <w:szCs w:val="21"/>
        </w:rPr>
        <w:t xml:space="preserve"> (Productivity Commission, 2020</w:t>
      </w:r>
      <w:r w:rsidR="00CE6B5D" w:rsidRPr="00CD693C">
        <w:rPr>
          <w:rStyle w:val="BodyTextChar"/>
          <w:rFonts w:asciiTheme="minorHAnsi" w:eastAsiaTheme="minorHAnsi" w:hAnsiTheme="minorHAnsi"/>
          <w:szCs w:val="21"/>
        </w:rPr>
        <w:t>b</w:t>
      </w:r>
      <w:r w:rsidRPr="00CD693C">
        <w:rPr>
          <w:rStyle w:val="BodyTextChar"/>
          <w:rFonts w:asciiTheme="minorHAnsi" w:eastAsiaTheme="minorHAnsi" w:hAnsiTheme="minorHAnsi"/>
          <w:szCs w:val="21"/>
        </w:rPr>
        <w:t>, p.</w:t>
      </w:r>
      <w:r w:rsidR="00CE6B5D" w:rsidRPr="00CD693C">
        <w:rPr>
          <w:rStyle w:val="BodyTextChar"/>
          <w:rFonts w:asciiTheme="minorHAnsi" w:eastAsiaTheme="minorHAnsi" w:hAnsiTheme="minorHAnsi"/>
          <w:szCs w:val="21"/>
        </w:rPr>
        <w:t xml:space="preserve"> </w:t>
      </w:r>
      <w:r w:rsidRPr="00CD693C">
        <w:rPr>
          <w:rStyle w:val="BodyTextChar"/>
          <w:rFonts w:asciiTheme="minorHAnsi" w:eastAsiaTheme="minorHAnsi" w:hAnsiTheme="minorHAnsi"/>
          <w:szCs w:val="21"/>
        </w:rPr>
        <w:t>5.1).</w:t>
      </w:r>
      <w:r w:rsidRPr="00CD693C">
        <w:rPr>
          <w:rStyle w:val="BodyTextChar"/>
          <w:rFonts w:eastAsiaTheme="minorHAnsi"/>
          <w:szCs w:val="21"/>
        </w:rPr>
        <w:t xml:space="preserve"> </w:t>
      </w:r>
      <w:r w:rsidRPr="00CD693C">
        <w:rPr>
          <w:szCs w:val="21"/>
        </w:rPr>
        <w:t xml:space="preserve">VET provides practical skills and knowledge for a wide range of careers including trades, office work, hospitality, technology, health and community services and logistics. VET qualifications are provided by registered training </w:t>
      </w:r>
      <w:proofErr w:type="spellStart"/>
      <w:r w:rsidRPr="00CD693C">
        <w:rPr>
          <w:szCs w:val="21"/>
        </w:rPr>
        <w:t>organisations</w:t>
      </w:r>
      <w:proofErr w:type="spellEnd"/>
      <w:r w:rsidRPr="00CD693C">
        <w:rPr>
          <w:szCs w:val="21"/>
        </w:rPr>
        <w:t xml:space="preserve"> (RTOs) which include government institutions called Technical and Further Education (TAFE) institutions, as well as private institutions (</w:t>
      </w:r>
      <w:r w:rsidR="003366DC" w:rsidRPr="00CD693C">
        <w:rPr>
          <w:rFonts w:asciiTheme="minorHAnsi" w:hAnsiTheme="minorHAnsi" w:cstheme="minorHAnsi"/>
          <w:szCs w:val="21"/>
        </w:rPr>
        <w:t>Australian Trade and Investment Commission</w:t>
      </w:r>
      <w:r w:rsidRPr="00CD693C">
        <w:rPr>
          <w:szCs w:val="21"/>
        </w:rPr>
        <w:t>, 2016</w:t>
      </w:r>
      <w:r w:rsidR="00AF3D07" w:rsidRPr="00CD693C">
        <w:rPr>
          <w:szCs w:val="21"/>
        </w:rPr>
        <w:t>, p.</w:t>
      </w:r>
      <w:r w:rsidRPr="00CD693C">
        <w:rPr>
          <w:szCs w:val="21"/>
        </w:rPr>
        <w:t xml:space="preserve"> 26), including many Australian Disability Enterprises (ADEs). </w:t>
      </w:r>
    </w:p>
    <w:p w14:paraId="66E089D1" w14:textId="4C591A7B" w:rsidR="00DC6F4D" w:rsidRPr="00CD693C" w:rsidRDefault="00DC6F4D" w:rsidP="00CD693C">
      <w:pPr>
        <w:spacing w:line="276" w:lineRule="auto"/>
        <w:rPr>
          <w:szCs w:val="21"/>
        </w:rPr>
      </w:pPr>
      <w:r w:rsidRPr="00CD693C">
        <w:rPr>
          <w:szCs w:val="21"/>
        </w:rPr>
        <w:t>VET is open to a wide range of applicants including those entering the workforce for the first time, re-entering the workforce, upgrading work skills for an existing job, or retraining for new work. Students can choose to undertake a single subject/unit of competency, module, skill set or VET qualification from Certificate level I to Graduate Diploma level (Productivity Commission, 2020</w:t>
      </w:r>
      <w:r w:rsidR="00CE6B5D" w:rsidRPr="00CD693C">
        <w:rPr>
          <w:szCs w:val="21"/>
        </w:rPr>
        <w:t>b</w:t>
      </w:r>
      <w:r w:rsidRPr="00CD693C">
        <w:rPr>
          <w:szCs w:val="21"/>
        </w:rPr>
        <w:t xml:space="preserve">). These include: </w:t>
      </w:r>
    </w:p>
    <w:p w14:paraId="4F140BAA" w14:textId="6A413570" w:rsidR="00DC6F4D" w:rsidRPr="00CD693C" w:rsidRDefault="00DC6F4D" w:rsidP="00CD693C">
      <w:pPr>
        <w:pStyle w:val="ListParagraph"/>
        <w:numPr>
          <w:ilvl w:val="0"/>
          <w:numId w:val="24"/>
        </w:numPr>
        <w:spacing w:line="276" w:lineRule="auto"/>
        <w:ind w:left="714" w:hanging="357"/>
        <w:contextualSpacing w:val="0"/>
        <w:rPr>
          <w:szCs w:val="21"/>
        </w:rPr>
      </w:pPr>
      <w:r w:rsidRPr="00CD693C">
        <w:rPr>
          <w:szCs w:val="21"/>
        </w:rPr>
        <w:t xml:space="preserve">Full apprenticeships and traineeships or partial/selected units of competence to upgrade skills; </w:t>
      </w:r>
    </w:p>
    <w:p w14:paraId="4F105272" w14:textId="2627978C" w:rsidR="00DC6F4D" w:rsidRPr="00CD693C" w:rsidRDefault="00DC6F4D" w:rsidP="00CD693C">
      <w:pPr>
        <w:pStyle w:val="ListParagraph"/>
        <w:numPr>
          <w:ilvl w:val="0"/>
          <w:numId w:val="24"/>
        </w:numPr>
        <w:spacing w:line="276" w:lineRule="auto"/>
        <w:ind w:left="714" w:hanging="357"/>
        <w:contextualSpacing w:val="0"/>
        <w:rPr>
          <w:szCs w:val="21"/>
        </w:rPr>
      </w:pPr>
      <w:r w:rsidRPr="00CD693C">
        <w:rPr>
          <w:szCs w:val="21"/>
        </w:rPr>
        <w:t xml:space="preserve">Certificates I and II for literacy, numeracy, life skills, communication, foundation occupation &amp; trade skills; </w:t>
      </w:r>
    </w:p>
    <w:p w14:paraId="4037C983" w14:textId="7BF656D2" w:rsidR="00DC6F4D" w:rsidRPr="00CD693C" w:rsidRDefault="00DC6F4D" w:rsidP="00CD693C">
      <w:pPr>
        <w:pStyle w:val="ListParagraph"/>
        <w:numPr>
          <w:ilvl w:val="0"/>
          <w:numId w:val="24"/>
        </w:numPr>
        <w:spacing w:line="276" w:lineRule="auto"/>
        <w:ind w:left="714" w:hanging="357"/>
        <w:contextualSpacing w:val="0"/>
        <w:rPr>
          <w:szCs w:val="21"/>
        </w:rPr>
      </w:pPr>
      <w:r w:rsidRPr="00CD693C">
        <w:rPr>
          <w:szCs w:val="21"/>
        </w:rPr>
        <w:t xml:space="preserve">Certificates III and IV for industry specific training for particular </w:t>
      </w:r>
      <w:proofErr w:type="gramStart"/>
      <w:r w:rsidRPr="00CD693C">
        <w:rPr>
          <w:szCs w:val="21"/>
        </w:rPr>
        <w:t>occupations;</w:t>
      </w:r>
      <w:proofErr w:type="gramEnd"/>
      <w:r w:rsidRPr="00CD693C">
        <w:rPr>
          <w:szCs w:val="21"/>
        </w:rPr>
        <w:t xml:space="preserve"> </w:t>
      </w:r>
    </w:p>
    <w:p w14:paraId="373A8839" w14:textId="77777777" w:rsidR="00DC6F4D" w:rsidRPr="00CD693C" w:rsidRDefault="00DC6F4D" w:rsidP="00CD693C">
      <w:pPr>
        <w:pStyle w:val="ListParagraph"/>
        <w:numPr>
          <w:ilvl w:val="0"/>
          <w:numId w:val="24"/>
        </w:numPr>
        <w:spacing w:line="276" w:lineRule="auto"/>
        <w:ind w:left="714" w:hanging="357"/>
        <w:contextualSpacing w:val="0"/>
        <w:rPr>
          <w:szCs w:val="21"/>
        </w:rPr>
      </w:pPr>
      <w:r w:rsidRPr="00CD693C">
        <w:rPr>
          <w:szCs w:val="21"/>
        </w:rPr>
        <w:t>Diplomas and Advanced Diplomas for advanced industry skills and pathways to higher education.</w:t>
      </w:r>
    </w:p>
    <w:p w14:paraId="5B88C02E" w14:textId="1F4B7ED9" w:rsidR="00DC6F4D" w:rsidRPr="00CD693C" w:rsidRDefault="00DC6F4D" w:rsidP="00CD693C">
      <w:pPr>
        <w:spacing w:line="276" w:lineRule="auto"/>
        <w:rPr>
          <w:szCs w:val="21"/>
        </w:rPr>
      </w:pPr>
      <w:r w:rsidRPr="00CD693C">
        <w:rPr>
          <w:szCs w:val="21"/>
        </w:rPr>
        <w:t xml:space="preserve">In addition, VET is available in secondary schools through the </w:t>
      </w:r>
      <w:r w:rsidR="00941549" w:rsidRPr="00CD693C">
        <w:rPr>
          <w:szCs w:val="21"/>
        </w:rPr>
        <w:t>“</w:t>
      </w:r>
      <w:r w:rsidRPr="00CD693C">
        <w:rPr>
          <w:szCs w:val="21"/>
        </w:rPr>
        <w:t>VET in schools</w:t>
      </w:r>
      <w:r w:rsidR="00941549" w:rsidRPr="00CD693C">
        <w:rPr>
          <w:szCs w:val="21"/>
        </w:rPr>
        <w:t>”</w:t>
      </w:r>
      <w:r w:rsidRPr="00CD693C">
        <w:rPr>
          <w:szCs w:val="21"/>
        </w:rPr>
        <w:t xml:space="preserve"> program (Productivity Commission, 2020</w:t>
      </w:r>
      <w:r w:rsidR="00963AE5" w:rsidRPr="00CD693C">
        <w:rPr>
          <w:szCs w:val="21"/>
        </w:rPr>
        <w:t>a</w:t>
      </w:r>
      <w:r w:rsidRPr="00CD693C">
        <w:rPr>
          <w:szCs w:val="21"/>
        </w:rPr>
        <w:t>).</w:t>
      </w:r>
    </w:p>
    <w:p w14:paraId="28419DDF" w14:textId="77777777" w:rsidR="00DC6F4D" w:rsidRPr="007F72AE" w:rsidRDefault="00DC6F4D" w:rsidP="00CE427B">
      <w:pPr>
        <w:pStyle w:val="Heading2"/>
        <w:spacing w:line="276" w:lineRule="auto"/>
      </w:pPr>
      <w:bookmarkStart w:id="79" w:name="_Toc49417911"/>
      <w:r w:rsidRPr="007F72AE">
        <w:lastRenderedPageBreak/>
        <w:t>The problem – the low rates of post-</w:t>
      </w:r>
      <w:r>
        <w:t>secondary</w:t>
      </w:r>
      <w:r w:rsidRPr="007F72AE">
        <w:t xml:space="preserve"> education for people with </w:t>
      </w:r>
      <w:r>
        <w:t>intellectual disability</w:t>
      </w:r>
      <w:bookmarkEnd w:id="79"/>
    </w:p>
    <w:p w14:paraId="785242D5" w14:textId="5EA1524F" w:rsidR="00DC6F4D" w:rsidRPr="00CD693C" w:rsidRDefault="00DC6F4D" w:rsidP="00CD693C">
      <w:pPr>
        <w:spacing w:line="276" w:lineRule="auto"/>
        <w:rPr>
          <w:szCs w:val="21"/>
        </w:rPr>
      </w:pPr>
      <w:r w:rsidRPr="00CD693C">
        <w:rPr>
          <w:szCs w:val="21"/>
        </w:rPr>
        <w:t>Young adults with intellectual disability often share the same aspirations as other students without disabilities about attending post-secondary education and gaining skills needed to obtain employment (Carnevale</w:t>
      </w:r>
      <w:r w:rsidR="005D7605" w:rsidRPr="00CD693C">
        <w:rPr>
          <w:szCs w:val="21"/>
        </w:rPr>
        <w:t xml:space="preserve"> et al., </w:t>
      </w:r>
      <w:r w:rsidRPr="00CD693C">
        <w:rPr>
          <w:szCs w:val="21"/>
        </w:rPr>
        <w:t>2010</w:t>
      </w:r>
      <w:r w:rsidR="005D7605" w:rsidRPr="00CD693C">
        <w:rPr>
          <w:szCs w:val="21"/>
        </w:rPr>
        <w:t>, cited</w:t>
      </w:r>
      <w:r w:rsidRPr="00CD693C">
        <w:rPr>
          <w:szCs w:val="21"/>
        </w:rPr>
        <w:t xml:space="preserve"> in </w:t>
      </w:r>
      <w:proofErr w:type="spellStart"/>
      <w:r w:rsidRPr="00CD693C">
        <w:rPr>
          <w:szCs w:val="21"/>
        </w:rPr>
        <w:t>Wehman</w:t>
      </w:r>
      <w:proofErr w:type="spellEnd"/>
      <w:r w:rsidRPr="00CD693C">
        <w:rPr>
          <w:szCs w:val="21"/>
        </w:rPr>
        <w:t xml:space="preserve"> et al.</w:t>
      </w:r>
      <w:r w:rsidR="00EC1786" w:rsidRPr="00CD693C">
        <w:rPr>
          <w:szCs w:val="21"/>
        </w:rPr>
        <w:t>,</w:t>
      </w:r>
      <w:r w:rsidRPr="00CD693C">
        <w:rPr>
          <w:szCs w:val="21"/>
        </w:rPr>
        <w:t xml:space="preserve"> 2018). However, the expectation for students with intellectual disability to attend university/college</w:t>
      </w:r>
      <w:r w:rsidRPr="00CD693C">
        <w:rPr>
          <w:rStyle w:val="FootnoteReference"/>
          <w:szCs w:val="21"/>
        </w:rPr>
        <w:footnoteReference w:id="1"/>
      </w:r>
      <w:r w:rsidRPr="00CD693C">
        <w:rPr>
          <w:szCs w:val="21"/>
        </w:rPr>
        <w:t xml:space="preserve"> and other forms of post-secondary education has not been adequately appreciated by families and many relevant professionals (Butler et al.</w:t>
      </w:r>
      <w:r w:rsidR="00E35AAA" w:rsidRPr="00CD693C">
        <w:rPr>
          <w:szCs w:val="21"/>
        </w:rPr>
        <w:t>,</w:t>
      </w:r>
      <w:r w:rsidRPr="00CD693C">
        <w:rPr>
          <w:szCs w:val="21"/>
        </w:rPr>
        <w:t xml:space="preserve"> 2016). </w:t>
      </w:r>
    </w:p>
    <w:p w14:paraId="06DAE8E2" w14:textId="332DE869" w:rsidR="00DC6F4D" w:rsidRPr="00CD693C" w:rsidRDefault="00DC6F4D" w:rsidP="00CD693C">
      <w:pPr>
        <w:spacing w:line="276" w:lineRule="auto"/>
        <w:rPr>
          <w:szCs w:val="21"/>
        </w:rPr>
      </w:pPr>
      <w:r w:rsidRPr="00CD693C">
        <w:rPr>
          <w:szCs w:val="21"/>
        </w:rPr>
        <w:t xml:space="preserve">This lack of knowledge of the advantages of post-secondary education for people with intellectual disability contributes to low numbers of enrolments. Despite its impact on later opportunities, people with intellectual disability are far less likely than their age peers without disability to move into post-secondary education – both internationally and in Australia (Australian Institute of Health and Welfare, 2008; Davies &amp; Beamish, 2009; Stanwick, Forrest, &amp; </w:t>
      </w:r>
      <w:proofErr w:type="spellStart"/>
      <w:r w:rsidRPr="00CD693C">
        <w:rPr>
          <w:szCs w:val="21"/>
        </w:rPr>
        <w:t>Skujins</w:t>
      </w:r>
      <w:proofErr w:type="spellEnd"/>
      <w:r w:rsidRPr="00CD693C">
        <w:rPr>
          <w:szCs w:val="21"/>
        </w:rPr>
        <w:t xml:space="preserve">, 2017). While there is no recent data, the Australian Institute of Health and Welfare found that based on 2003 data, the proportion of 20-24 year </w:t>
      </w:r>
      <w:proofErr w:type="spellStart"/>
      <w:r w:rsidR="00A67CD4" w:rsidRPr="00CD693C">
        <w:rPr>
          <w:szCs w:val="21"/>
        </w:rPr>
        <w:t>olds</w:t>
      </w:r>
      <w:proofErr w:type="spellEnd"/>
      <w:r w:rsidRPr="00CD693C">
        <w:rPr>
          <w:szCs w:val="21"/>
        </w:rPr>
        <w:t xml:space="preserve"> with intellectual disability who participated in post school education was approximately 9%, while for those over 25 years it was less than 5% (Australian Institute of Health and Welfare, 2008).</w:t>
      </w:r>
    </w:p>
    <w:p w14:paraId="1724D130" w14:textId="49BF4C76" w:rsidR="00DC6F4D" w:rsidRPr="00CD693C" w:rsidRDefault="00DC6F4D" w:rsidP="00CD693C">
      <w:pPr>
        <w:spacing w:line="276" w:lineRule="auto"/>
        <w:rPr>
          <w:szCs w:val="21"/>
        </w:rPr>
      </w:pPr>
      <w:r w:rsidRPr="00CD693C">
        <w:rPr>
          <w:szCs w:val="21"/>
        </w:rPr>
        <w:t>For youth with intellectual disability, there is a large disparity in education and employment outcomes. A significant body of evidence from the United States shows that among all disability groups, youth (aged 16-26) with intellectual disability have lower rates of preparation for work after high school and lower rates of postsecondary education participation (Miller</w:t>
      </w:r>
      <w:r w:rsidR="002645F5" w:rsidRPr="00CD693C">
        <w:rPr>
          <w:szCs w:val="21"/>
        </w:rPr>
        <w:t xml:space="preserve"> et al.</w:t>
      </w:r>
      <w:r w:rsidRPr="00CD693C">
        <w:rPr>
          <w:szCs w:val="21"/>
        </w:rPr>
        <w:t>, 2019). Further, when students do attend post-secondary education, retention of students to degree completion remains a widespread issue (</w:t>
      </w:r>
      <w:proofErr w:type="spellStart"/>
      <w:r w:rsidRPr="00CD693C">
        <w:rPr>
          <w:szCs w:val="21"/>
        </w:rPr>
        <w:t>Wehman</w:t>
      </w:r>
      <w:proofErr w:type="spellEnd"/>
      <w:r w:rsidRPr="00CD693C">
        <w:rPr>
          <w:szCs w:val="21"/>
        </w:rPr>
        <w:t xml:space="preserve"> et al.</w:t>
      </w:r>
      <w:r w:rsidR="00EC1786" w:rsidRPr="00CD693C">
        <w:rPr>
          <w:szCs w:val="21"/>
        </w:rPr>
        <w:t>,</w:t>
      </w:r>
      <w:r w:rsidRPr="00CD693C">
        <w:rPr>
          <w:szCs w:val="21"/>
        </w:rPr>
        <w:t xml:space="preserve"> 2018).</w:t>
      </w:r>
    </w:p>
    <w:p w14:paraId="7A79E2EB" w14:textId="77777777" w:rsidR="00DC6F4D" w:rsidRPr="00EE583F" w:rsidRDefault="00DC6F4D" w:rsidP="00CE427B">
      <w:pPr>
        <w:pStyle w:val="Heading2"/>
      </w:pPr>
      <w:bookmarkStart w:id="80" w:name="_Toc49417912"/>
      <w:r>
        <w:t>Outcomes</w:t>
      </w:r>
      <w:r w:rsidRPr="00EE583F">
        <w:t xml:space="preserve"> of Vocational Education and Training (VET)</w:t>
      </w:r>
      <w:bookmarkEnd w:id="80"/>
      <w:r w:rsidRPr="00EE583F">
        <w:t xml:space="preserve"> </w:t>
      </w:r>
    </w:p>
    <w:p w14:paraId="31035253" w14:textId="77777777" w:rsidR="00DC6F4D" w:rsidRPr="00CD693C" w:rsidRDefault="00DC6F4D" w:rsidP="00CD693C">
      <w:pPr>
        <w:spacing w:line="276" w:lineRule="auto"/>
        <w:rPr>
          <w:szCs w:val="21"/>
        </w:rPr>
      </w:pPr>
      <w:r w:rsidRPr="00CD693C">
        <w:rPr>
          <w:szCs w:val="21"/>
        </w:rPr>
        <w:t xml:space="preserve">Studies both in Australia and internationally have been able to identity </w:t>
      </w:r>
      <w:proofErr w:type="gramStart"/>
      <w:r w:rsidRPr="00CD693C">
        <w:rPr>
          <w:szCs w:val="21"/>
        </w:rPr>
        <w:t>a number of</w:t>
      </w:r>
      <w:proofErr w:type="gramEnd"/>
      <w:r w:rsidRPr="00CD693C">
        <w:rPr>
          <w:szCs w:val="21"/>
        </w:rPr>
        <w:t xml:space="preserve"> benefits of VET for people with disability, including those with intellectual disability.</w:t>
      </w:r>
    </w:p>
    <w:p w14:paraId="677A04DB" w14:textId="6C9C9048" w:rsidR="00DC6F4D" w:rsidRPr="00CD693C" w:rsidRDefault="00DC6F4D" w:rsidP="00CD693C">
      <w:pPr>
        <w:spacing w:line="276" w:lineRule="auto"/>
        <w:ind w:left="720" w:hanging="360"/>
        <w:rPr>
          <w:szCs w:val="21"/>
        </w:rPr>
      </w:pPr>
      <w:r w:rsidRPr="00CD693C">
        <w:rPr>
          <w:szCs w:val="21"/>
        </w:rPr>
        <w:t>•</w:t>
      </w:r>
      <w:r w:rsidRPr="00CD693C">
        <w:rPr>
          <w:szCs w:val="21"/>
        </w:rPr>
        <w:tab/>
        <w:t xml:space="preserve">VET is a way of </w:t>
      </w:r>
      <w:r w:rsidRPr="00CD693C">
        <w:rPr>
          <w:b/>
          <w:szCs w:val="21"/>
        </w:rPr>
        <w:t>improving employment prospects</w:t>
      </w:r>
      <w:r w:rsidRPr="00CD693C">
        <w:rPr>
          <w:szCs w:val="21"/>
        </w:rPr>
        <w:t xml:space="preserve"> for people with a disability (Cocks et al., 2013; Cavanagh et al., 2019; Southward &amp; </w:t>
      </w:r>
      <w:proofErr w:type="spellStart"/>
      <w:r w:rsidRPr="00CD693C">
        <w:rPr>
          <w:szCs w:val="21"/>
        </w:rPr>
        <w:t>Kyzar</w:t>
      </w:r>
      <w:proofErr w:type="spellEnd"/>
      <w:r w:rsidRPr="00CD693C">
        <w:rPr>
          <w:szCs w:val="21"/>
        </w:rPr>
        <w:t>, 2017). In Australia, 73.7% of students with disability who graduated from VET programs in 2018 were employed or continued to further study. 45.5% of graduates from VET in 2018 who had a disability improved their employment status as a result of their VET studies. This includes getting a job when they previously did not have one, or getting a job benefit such as being promoted to a higher skill level job (Productivity Commission, 2020</w:t>
      </w:r>
      <w:r w:rsidR="00D21017" w:rsidRPr="00CD693C">
        <w:rPr>
          <w:szCs w:val="21"/>
        </w:rPr>
        <w:t>b</w:t>
      </w:r>
      <w:r w:rsidRPr="00CD693C">
        <w:rPr>
          <w:szCs w:val="21"/>
        </w:rPr>
        <w:t xml:space="preserve">). An Australian study found that completing a VET qualification increases the chances of employment and improves the chances of continuous job tenure two to three years after completion, and that completing a VET qualification may indicate to employers that their disability does not affect their ability, motivation and commitment to perform employment and general tasks (Cavanagh et al., 2019).  </w:t>
      </w:r>
    </w:p>
    <w:p w14:paraId="4F192312" w14:textId="77777777" w:rsidR="00DC6F4D" w:rsidRPr="00CD693C" w:rsidRDefault="00DC6F4D" w:rsidP="00CD693C">
      <w:pPr>
        <w:spacing w:line="276" w:lineRule="auto"/>
        <w:ind w:left="720" w:hanging="360"/>
        <w:rPr>
          <w:szCs w:val="21"/>
        </w:rPr>
      </w:pPr>
      <w:r w:rsidRPr="00CD693C">
        <w:rPr>
          <w:szCs w:val="21"/>
        </w:rPr>
        <w:t>•</w:t>
      </w:r>
      <w:r w:rsidRPr="00CD693C">
        <w:rPr>
          <w:szCs w:val="21"/>
        </w:rPr>
        <w:tab/>
      </w:r>
      <w:r w:rsidRPr="00CD693C">
        <w:rPr>
          <w:b/>
          <w:szCs w:val="21"/>
        </w:rPr>
        <w:t>Positive economic outcomes</w:t>
      </w:r>
      <w:r w:rsidRPr="00CD693C">
        <w:rPr>
          <w:szCs w:val="21"/>
        </w:rPr>
        <w:t xml:space="preserve"> are achieved through participating in apprenticeships and traineeships for people with a disability evident in rates of income comparable to similarly aged Australians without disability (Cocks et al., 2013).</w:t>
      </w:r>
    </w:p>
    <w:p w14:paraId="12633765" w14:textId="44745D2D" w:rsidR="00DC6F4D" w:rsidRPr="00CD693C" w:rsidRDefault="00DC6F4D" w:rsidP="00CD693C">
      <w:pPr>
        <w:spacing w:line="276" w:lineRule="auto"/>
        <w:ind w:left="720" w:hanging="360"/>
        <w:rPr>
          <w:szCs w:val="21"/>
        </w:rPr>
      </w:pPr>
      <w:r w:rsidRPr="00CD693C">
        <w:rPr>
          <w:szCs w:val="21"/>
        </w:rPr>
        <w:t>•</w:t>
      </w:r>
      <w:r w:rsidRPr="00CD693C">
        <w:rPr>
          <w:szCs w:val="21"/>
        </w:rPr>
        <w:tab/>
      </w:r>
      <w:r w:rsidRPr="00CD693C">
        <w:rPr>
          <w:b/>
          <w:szCs w:val="21"/>
        </w:rPr>
        <w:t>Productivity improvement</w:t>
      </w:r>
      <w:r w:rsidRPr="00CD693C">
        <w:rPr>
          <w:szCs w:val="21"/>
        </w:rPr>
        <w:t xml:space="preserve"> may be achieved following a VET program to enable people with a disability to meet their job tasks (</w:t>
      </w:r>
      <w:bookmarkStart w:id="81" w:name="_Hlk42513606"/>
      <w:proofErr w:type="spellStart"/>
      <w:r w:rsidRPr="00CD693C">
        <w:rPr>
          <w:szCs w:val="21"/>
        </w:rPr>
        <w:t>Polidano</w:t>
      </w:r>
      <w:proofErr w:type="spellEnd"/>
      <w:r w:rsidRPr="00CD693C">
        <w:rPr>
          <w:szCs w:val="21"/>
        </w:rPr>
        <w:t xml:space="preserve"> </w:t>
      </w:r>
      <w:r w:rsidR="00DE726F" w:rsidRPr="00CD693C">
        <w:rPr>
          <w:szCs w:val="21"/>
        </w:rPr>
        <w:t>&amp;</w:t>
      </w:r>
      <w:r w:rsidRPr="00CD693C">
        <w:rPr>
          <w:szCs w:val="21"/>
        </w:rPr>
        <w:t xml:space="preserve"> </w:t>
      </w:r>
      <w:proofErr w:type="spellStart"/>
      <w:r w:rsidRPr="00CD693C">
        <w:rPr>
          <w:szCs w:val="21"/>
        </w:rPr>
        <w:t>Mavromaras</w:t>
      </w:r>
      <w:proofErr w:type="spellEnd"/>
      <w:r w:rsidRPr="00CD693C">
        <w:rPr>
          <w:szCs w:val="21"/>
        </w:rPr>
        <w:t>, 2011</w:t>
      </w:r>
      <w:bookmarkEnd w:id="81"/>
      <w:r w:rsidRPr="00CD693C">
        <w:rPr>
          <w:szCs w:val="21"/>
        </w:rPr>
        <w:t>).</w:t>
      </w:r>
    </w:p>
    <w:p w14:paraId="0350C69B" w14:textId="77777777" w:rsidR="00DC6F4D" w:rsidRPr="00CD693C" w:rsidRDefault="00DC6F4D" w:rsidP="00CD693C">
      <w:pPr>
        <w:pStyle w:val="ListParagraph"/>
        <w:numPr>
          <w:ilvl w:val="0"/>
          <w:numId w:val="25"/>
        </w:numPr>
        <w:spacing w:line="276" w:lineRule="auto"/>
        <w:rPr>
          <w:szCs w:val="21"/>
        </w:rPr>
      </w:pPr>
      <w:r w:rsidRPr="00CD693C">
        <w:rPr>
          <w:szCs w:val="21"/>
        </w:rPr>
        <w:lastRenderedPageBreak/>
        <w:t xml:space="preserve">Developing </w:t>
      </w:r>
      <w:r w:rsidRPr="00CD693C">
        <w:rPr>
          <w:b/>
          <w:szCs w:val="21"/>
        </w:rPr>
        <w:t>new skills</w:t>
      </w:r>
      <w:r w:rsidRPr="00CD693C">
        <w:rPr>
          <w:szCs w:val="21"/>
        </w:rPr>
        <w:t xml:space="preserve"> including teamwork skills and the developing of skills in handling different situations, while fostering a professionalism and work ethic (Southward and </w:t>
      </w:r>
      <w:proofErr w:type="spellStart"/>
      <w:r w:rsidRPr="00CD693C">
        <w:rPr>
          <w:szCs w:val="21"/>
        </w:rPr>
        <w:t>Kyzar</w:t>
      </w:r>
      <w:proofErr w:type="spellEnd"/>
      <w:r w:rsidRPr="00CD693C">
        <w:rPr>
          <w:szCs w:val="21"/>
        </w:rPr>
        <w:t>, 2017).</w:t>
      </w:r>
    </w:p>
    <w:p w14:paraId="4CDFE287" w14:textId="77777777" w:rsidR="00DC6F4D" w:rsidRPr="00CD693C" w:rsidRDefault="00DC6F4D" w:rsidP="00CD693C">
      <w:pPr>
        <w:spacing w:line="276" w:lineRule="auto"/>
        <w:ind w:left="720" w:hanging="360"/>
        <w:rPr>
          <w:szCs w:val="21"/>
        </w:rPr>
      </w:pPr>
      <w:r w:rsidRPr="00CD693C">
        <w:rPr>
          <w:szCs w:val="21"/>
        </w:rPr>
        <w:t>•</w:t>
      </w:r>
      <w:r w:rsidRPr="00CD693C">
        <w:rPr>
          <w:szCs w:val="21"/>
        </w:rPr>
        <w:tab/>
        <w:t xml:space="preserve">The </w:t>
      </w:r>
      <w:r w:rsidRPr="00CD693C">
        <w:rPr>
          <w:b/>
          <w:szCs w:val="21"/>
        </w:rPr>
        <w:t>retraining of learned skills and abilities</w:t>
      </w:r>
      <w:r w:rsidRPr="00CD693C">
        <w:rPr>
          <w:szCs w:val="21"/>
        </w:rPr>
        <w:t xml:space="preserve"> for people with intellectual disability can be done though a VET Program (Cavanagh et al., 2019).</w:t>
      </w:r>
    </w:p>
    <w:p w14:paraId="4402340E" w14:textId="77777777" w:rsidR="00DC6F4D" w:rsidRPr="00CD693C" w:rsidRDefault="00DC6F4D" w:rsidP="00CD693C">
      <w:pPr>
        <w:spacing w:line="276" w:lineRule="auto"/>
        <w:ind w:left="720" w:hanging="360"/>
        <w:rPr>
          <w:szCs w:val="21"/>
        </w:rPr>
      </w:pPr>
      <w:r w:rsidRPr="00CD693C">
        <w:rPr>
          <w:szCs w:val="21"/>
        </w:rPr>
        <w:t>•</w:t>
      </w:r>
      <w:r w:rsidRPr="00CD693C">
        <w:rPr>
          <w:szCs w:val="21"/>
        </w:rPr>
        <w:tab/>
        <w:t xml:space="preserve">The </w:t>
      </w:r>
      <w:r w:rsidRPr="00CD693C">
        <w:rPr>
          <w:b/>
          <w:szCs w:val="21"/>
        </w:rPr>
        <w:t>confidence</w:t>
      </w:r>
      <w:r w:rsidRPr="00CD693C">
        <w:rPr>
          <w:szCs w:val="21"/>
        </w:rPr>
        <w:t xml:space="preserve"> of people with intellectual disability can be increased by undertaking VET and employment (Cavanagh et al., 2019).</w:t>
      </w:r>
    </w:p>
    <w:p w14:paraId="2393D3DB" w14:textId="77777777" w:rsidR="00DC6F4D" w:rsidRPr="00CD693C" w:rsidRDefault="00DC6F4D" w:rsidP="00CD693C">
      <w:pPr>
        <w:spacing w:line="276" w:lineRule="auto"/>
        <w:ind w:left="720" w:hanging="360"/>
        <w:rPr>
          <w:szCs w:val="21"/>
        </w:rPr>
      </w:pPr>
      <w:r w:rsidRPr="00CD693C">
        <w:rPr>
          <w:szCs w:val="21"/>
        </w:rPr>
        <w:t>•</w:t>
      </w:r>
      <w:r w:rsidRPr="00CD693C">
        <w:rPr>
          <w:szCs w:val="21"/>
        </w:rPr>
        <w:tab/>
        <w:t xml:space="preserve">Vocational training has </w:t>
      </w:r>
      <w:r w:rsidRPr="00CD693C">
        <w:rPr>
          <w:b/>
          <w:szCs w:val="21"/>
        </w:rPr>
        <w:t>improved the quality of life</w:t>
      </w:r>
      <w:r w:rsidRPr="00CD693C">
        <w:rPr>
          <w:szCs w:val="21"/>
        </w:rPr>
        <w:t xml:space="preserve"> of people with intellectual disability and enhanced a life more compatible with their wishes and needs (Gomes-Machado et al., 2016).</w:t>
      </w:r>
    </w:p>
    <w:p w14:paraId="79333912" w14:textId="761B5C54" w:rsidR="00DC6F4D" w:rsidRPr="00CD693C" w:rsidRDefault="00DC6F4D" w:rsidP="00CD693C">
      <w:pPr>
        <w:spacing w:line="276" w:lineRule="auto"/>
        <w:ind w:left="720" w:hanging="360"/>
        <w:rPr>
          <w:szCs w:val="21"/>
        </w:rPr>
      </w:pPr>
      <w:r w:rsidRPr="00CD693C">
        <w:rPr>
          <w:szCs w:val="21"/>
        </w:rPr>
        <w:t>•</w:t>
      </w:r>
      <w:r w:rsidRPr="00CD693C">
        <w:rPr>
          <w:szCs w:val="21"/>
        </w:rPr>
        <w:tab/>
      </w:r>
      <w:r w:rsidRPr="00CD693C">
        <w:rPr>
          <w:b/>
          <w:szCs w:val="21"/>
        </w:rPr>
        <w:t>Social benefits</w:t>
      </w:r>
      <w:r w:rsidRPr="00CD693C">
        <w:rPr>
          <w:szCs w:val="21"/>
        </w:rPr>
        <w:t xml:space="preserve"> for people with disability in participating in apprenticeships and traineeships were identified by Cocks and </w:t>
      </w:r>
      <w:proofErr w:type="spellStart"/>
      <w:r w:rsidRPr="00CD693C">
        <w:rPr>
          <w:szCs w:val="21"/>
        </w:rPr>
        <w:t>Thoresen</w:t>
      </w:r>
      <w:proofErr w:type="spellEnd"/>
      <w:r w:rsidRPr="00CD693C">
        <w:rPr>
          <w:szCs w:val="21"/>
        </w:rPr>
        <w:t xml:space="preserve"> (2013) in their longitudinal study into social and economic outcomes for apprenticeship and traineeship graduates with disabilities: As </w:t>
      </w:r>
      <w:proofErr w:type="spellStart"/>
      <w:r w:rsidRPr="00CD693C">
        <w:rPr>
          <w:szCs w:val="21"/>
        </w:rPr>
        <w:t>summari</w:t>
      </w:r>
      <w:r w:rsidR="00E853EE" w:rsidRPr="00CD693C">
        <w:rPr>
          <w:szCs w:val="21"/>
        </w:rPr>
        <w:t>s</w:t>
      </w:r>
      <w:r w:rsidRPr="00CD693C">
        <w:rPr>
          <w:szCs w:val="21"/>
        </w:rPr>
        <w:t>ed</w:t>
      </w:r>
      <w:proofErr w:type="spellEnd"/>
      <w:r w:rsidRPr="00CD693C">
        <w:rPr>
          <w:szCs w:val="21"/>
        </w:rPr>
        <w:t xml:space="preserve"> by Wakeford and Waugh (2014), </w:t>
      </w:r>
      <w:r w:rsidR="00FE25FD" w:rsidRPr="00CD693C">
        <w:rPr>
          <w:szCs w:val="21"/>
        </w:rPr>
        <w:t>“</w:t>
      </w:r>
      <w:r w:rsidR="00DD5089" w:rsidRPr="00CD693C">
        <w:rPr>
          <w:szCs w:val="21"/>
        </w:rPr>
        <w:t>s</w:t>
      </w:r>
      <w:r w:rsidRPr="00CD693C">
        <w:rPr>
          <w:szCs w:val="21"/>
        </w:rPr>
        <w:t>ocial outcomes included formal memberships of community groups and clubs as well as informal relationships with friends and acquaintances in the workplace</w:t>
      </w:r>
      <w:r w:rsidR="00FE25FD" w:rsidRPr="00CD693C">
        <w:rPr>
          <w:szCs w:val="21"/>
        </w:rPr>
        <w:t>”</w:t>
      </w:r>
      <w:r w:rsidRPr="00CD693C">
        <w:rPr>
          <w:szCs w:val="21"/>
        </w:rPr>
        <w:t xml:space="preserve"> (p</w:t>
      </w:r>
      <w:r w:rsidR="009F6D38" w:rsidRPr="00CD693C">
        <w:rPr>
          <w:szCs w:val="21"/>
        </w:rPr>
        <w:t>p</w:t>
      </w:r>
      <w:r w:rsidRPr="00CD693C">
        <w:rPr>
          <w:szCs w:val="21"/>
        </w:rPr>
        <w:t>.</w:t>
      </w:r>
      <w:r w:rsidR="009F6D38" w:rsidRPr="00CD693C">
        <w:rPr>
          <w:szCs w:val="21"/>
        </w:rPr>
        <w:t xml:space="preserve"> 24-</w:t>
      </w:r>
      <w:r w:rsidRPr="00CD693C">
        <w:rPr>
          <w:szCs w:val="21"/>
        </w:rPr>
        <w:t xml:space="preserve">25). Gomes-Machado et al. (2016) evidenced </w:t>
      </w:r>
      <w:r w:rsidR="00DD5089" w:rsidRPr="00CD693C">
        <w:rPr>
          <w:szCs w:val="21"/>
        </w:rPr>
        <w:t>“</w:t>
      </w:r>
      <w:r w:rsidRPr="00CD693C">
        <w:rPr>
          <w:szCs w:val="21"/>
        </w:rPr>
        <w:t>an expansion of sociability through interpersonal relations with colleagues</w:t>
      </w:r>
      <w:r w:rsidR="00DD5089" w:rsidRPr="00CD693C">
        <w:rPr>
          <w:szCs w:val="21"/>
        </w:rPr>
        <w:t>”</w:t>
      </w:r>
      <w:r w:rsidRPr="00CD693C">
        <w:rPr>
          <w:szCs w:val="21"/>
        </w:rPr>
        <w:t xml:space="preserve"> (p.</w:t>
      </w:r>
      <w:r w:rsidR="00DD5089" w:rsidRPr="00CD693C">
        <w:rPr>
          <w:szCs w:val="21"/>
        </w:rPr>
        <w:t xml:space="preserve"> </w:t>
      </w:r>
      <w:r w:rsidRPr="00CD693C">
        <w:rPr>
          <w:szCs w:val="21"/>
        </w:rPr>
        <w:t>38).</w:t>
      </w:r>
    </w:p>
    <w:p w14:paraId="3D215070" w14:textId="77777777" w:rsidR="00DC6F4D" w:rsidRPr="00EE583F" w:rsidRDefault="00DC6F4D" w:rsidP="00CE427B">
      <w:pPr>
        <w:pStyle w:val="Heading2"/>
      </w:pPr>
      <w:bookmarkStart w:id="82" w:name="_Toc49417913"/>
      <w:r>
        <w:t>Ingredients of success:</w:t>
      </w:r>
      <w:r w:rsidRPr="00EE583F">
        <w:t xml:space="preserve"> </w:t>
      </w:r>
      <w:r w:rsidRPr="00171A7E">
        <w:t>VET</w:t>
      </w:r>
      <w:r>
        <w:t xml:space="preserve"> </w:t>
      </w:r>
      <w:r w:rsidRPr="00EE583F">
        <w:t>for people with intellectual disability</w:t>
      </w:r>
      <w:bookmarkEnd w:id="82"/>
    </w:p>
    <w:p w14:paraId="4217BDEA" w14:textId="77777777" w:rsidR="00DC6F4D" w:rsidRPr="00CD693C" w:rsidRDefault="00DC6F4D" w:rsidP="00CD693C">
      <w:pPr>
        <w:spacing w:line="276" w:lineRule="auto"/>
        <w:rPr>
          <w:szCs w:val="21"/>
        </w:rPr>
      </w:pPr>
      <w:r w:rsidRPr="00CD693C">
        <w:rPr>
          <w:szCs w:val="21"/>
        </w:rPr>
        <w:t>While programs vary, studies have been able to identify some of the components of VET that lead to positive outcomes for people with disability – including intellectual disability.</w:t>
      </w:r>
    </w:p>
    <w:p w14:paraId="23DDA30F" w14:textId="482FC9E9" w:rsidR="00DC6F4D" w:rsidRPr="00CD693C" w:rsidRDefault="00DC6F4D" w:rsidP="00CD693C">
      <w:pPr>
        <w:spacing w:line="276" w:lineRule="auto"/>
        <w:ind w:left="720" w:hanging="360"/>
        <w:rPr>
          <w:szCs w:val="21"/>
        </w:rPr>
      </w:pPr>
      <w:r w:rsidRPr="00CD693C">
        <w:rPr>
          <w:szCs w:val="21"/>
        </w:rPr>
        <w:t>•</w:t>
      </w:r>
      <w:r w:rsidRPr="00CD693C">
        <w:rPr>
          <w:szCs w:val="21"/>
        </w:rPr>
        <w:tab/>
        <w:t xml:space="preserve">VET or </w:t>
      </w:r>
      <w:proofErr w:type="spellStart"/>
      <w:r w:rsidRPr="00CD693C">
        <w:rPr>
          <w:szCs w:val="21"/>
        </w:rPr>
        <w:t>VETis</w:t>
      </w:r>
      <w:proofErr w:type="spellEnd"/>
      <w:r w:rsidRPr="00CD693C">
        <w:rPr>
          <w:szCs w:val="21"/>
        </w:rPr>
        <w:t xml:space="preserve"> (VET in schools) which include some form of </w:t>
      </w:r>
      <w:r w:rsidRPr="00CD693C">
        <w:rPr>
          <w:b/>
          <w:szCs w:val="21"/>
        </w:rPr>
        <w:t>work-based training such as apprenticeships and traineeships</w:t>
      </w:r>
      <w:r w:rsidRPr="00CD693C">
        <w:rPr>
          <w:szCs w:val="21"/>
        </w:rPr>
        <w:t xml:space="preserve"> are strong vocational pathways with good employment outcomes for young people with disability (Cocks et al., 2013). Wakeford and Waugh </w:t>
      </w:r>
      <w:r w:rsidR="00175684" w:rsidRPr="00CD693C">
        <w:rPr>
          <w:szCs w:val="21"/>
        </w:rPr>
        <w:t xml:space="preserve">(2014) </w:t>
      </w:r>
      <w:r w:rsidRPr="00CD693C">
        <w:rPr>
          <w:szCs w:val="21"/>
        </w:rPr>
        <w:t xml:space="preserve">note that this may be </w:t>
      </w:r>
      <w:r w:rsidR="000C71E9" w:rsidRPr="00CD693C">
        <w:rPr>
          <w:szCs w:val="21"/>
        </w:rPr>
        <w:t>“</w:t>
      </w:r>
      <w:r w:rsidRPr="00CD693C">
        <w:rPr>
          <w:szCs w:val="21"/>
        </w:rPr>
        <w:t>because of the employment or on-the-job relationship embedded in the apprenticeship and traineeship models. … Likewise, training that involves practical experience in the workplace is more likely to lead to employment for young people with a disability</w:t>
      </w:r>
      <w:r w:rsidR="000C71E9" w:rsidRPr="00CD693C">
        <w:rPr>
          <w:szCs w:val="21"/>
        </w:rPr>
        <w:t>”</w:t>
      </w:r>
      <w:r w:rsidRPr="00CD693C">
        <w:rPr>
          <w:szCs w:val="21"/>
        </w:rPr>
        <w:t xml:space="preserve"> (</w:t>
      </w:r>
      <w:r w:rsidR="000C71E9" w:rsidRPr="00CD693C">
        <w:rPr>
          <w:szCs w:val="21"/>
        </w:rPr>
        <w:t>p.</w:t>
      </w:r>
      <w:r w:rsidRPr="00CD693C">
        <w:rPr>
          <w:szCs w:val="21"/>
        </w:rPr>
        <w:t xml:space="preserve"> 23).</w:t>
      </w:r>
    </w:p>
    <w:p w14:paraId="08C54341" w14:textId="2BA1DEA9" w:rsidR="00DC6F4D" w:rsidRPr="00CD693C" w:rsidRDefault="00DC6F4D" w:rsidP="00CD693C">
      <w:pPr>
        <w:spacing w:line="276" w:lineRule="auto"/>
        <w:ind w:left="720" w:hanging="360"/>
        <w:rPr>
          <w:szCs w:val="21"/>
        </w:rPr>
      </w:pPr>
      <w:r w:rsidRPr="00CD693C">
        <w:rPr>
          <w:szCs w:val="21"/>
        </w:rPr>
        <w:t>•</w:t>
      </w:r>
      <w:r w:rsidRPr="00CD693C">
        <w:rPr>
          <w:szCs w:val="21"/>
        </w:rPr>
        <w:tab/>
      </w:r>
      <w:r w:rsidRPr="00CD693C">
        <w:rPr>
          <w:b/>
          <w:szCs w:val="21"/>
        </w:rPr>
        <w:t>Observation and feedback</w:t>
      </w:r>
      <w:r w:rsidRPr="00CD693C">
        <w:rPr>
          <w:szCs w:val="21"/>
        </w:rPr>
        <w:t xml:space="preserve"> of/to people with intellectual disability to develop their skills has been identified in studies as the key to vocational training (Gomes-Machado et al., 2016</w:t>
      </w:r>
      <w:r w:rsidR="00AC4B3A" w:rsidRPr="00CD693C">
        <w:rPr>
          <w:szCs w:val="21"/>
        </w:rPr>
        <w:t>, p.</w:t>
      </w:r>
      <w:r w:rsidRPr="00CD693C">
        <w:rPr>
          <w:szCs w:val="21"/>
        </w:rPr>
        <w:t xml:space="preserve"> 33). Observers play a crucial role in providing insights and feedback for primary participants about the actions undertaken (</w:t>
      </w:r>
      <w:proofErr w:type="spellStart"/>
      <w:r w:rsidRPr="00CD693C">
        <w:rPr>
          <w:szCs w:val="21"/>
        </w:rPr>
        <w:t>Rantatalo</w:t>
      </w:r>
      <w:proofErr w:type="spellEnd"/>
      <w:r w:rsidRPr="00CD693C">
        <w:rPr>
          <w:szCs w:val="21"/>
        </w:rPr>
        <w:t xml:space="preserve"> et al., 2019).</w:t>
      </w:r>
    </w:p>
    <w:p w14:paraId="12B1CF0F" w14:textId="642AACA0" w:rsidR="00DC6F4D" w:rsidRPr="00CD693C" w:rsidRDefault="00DC6F4D" w:rsidP="00CD693C">
      <w:pPr>
        <w:pStyle w:val="ListParagraph"/>
        <w:numPr>
          <w:ilvl w:val="0"/>
          <w:numId w:val="26"/>
        </w:numPr>
        <w:spacing w:line="276" w:lineRule="auto"/>
        <w:ind w:left="720"/>
        <w:rPr>
          <w:szCs w:val="21"/>
        </w:rPr>
      </w:pPr>
      <w:r w:rsidRPr="00CD693C">
        <w:rPr>
          <w:szCs w:val="21"/>
        </w:rPr>
        <w:t xml:space="preserve">An Australian study outlined the value of </w:t>
      </w:r>
      <w:r w:rsidRPr="00CD693C">
        <w:rPr>
          <w:b/>
          <w:bCs/>
          <w:szCs w:val="21"/>
        </w:rPr>
        <w:t>social support</w:t>
      </w:r>
      <w:r w:rsidRPr="00CD693C">
        <w:rPr>
          <w:szCs w:val="21"/>
        </w:rPr>
        <w:t xml:space="preserve"> in assisting people with disability to successfully complete vocational education (</w:t>
      </w:r>
      <w:proofErr w:type="spellStart"/>
      <w:r w:rsidRPr="00CD693C">
        <w:rPr>
          <w:szCs w:val="21"/>
        </w:rPr>
        <w:t>Polidano</w:t>
      </w:r>
      <w:proofErr w:type="spellEnd"/>
      <w:r w:rsidRPr="00CD693C">
        <w:rPr>
          <w:szCs w:val="21"/>
        </w:rPr>
        <w:t xml:space="preserve"> </w:t>
      </w:r>
      <w:r w:rsidR="00625429" w:rsidRPr="00CD693C">
        <w:rPr>
          <w:szCs w:val="21"/>
        </w:rPr>
        <w:t>&amp;</w:t>
      </w:r>
      <w:r w:rsidRPr="00CD693C">
        <w:rPr>
          <w:szCs w:val="21"/>
        </w:rPr>
        <w:t xml:space="preserve"> </w:t>
      </w:r>
      <w:proofErr w:type="spellStart"/>
      <w:r w:rsidRPr="00CD693C">
        <w:rPr>
          <w:szCs w:val="21"/>
        </w:rPr>
        <w:t>Mavromaras</w:t>
      </w:r>
      <w:proofErr w:type="spellEnd"/>
      <w:r w:rsidRPr="00CD693C">
        <w:rPr>
          <w:szCs w:val="21"/>
        </w:rPr>
        <w:t>, 2011)</w:t>
      </w:r>
      <w:r w:rsidR="00CD693C" w:rsidRPr="00CD693C">
        <w:rPr>
          <w:szCs w:val="21"/>
        </w:rPr>
        <w:t>.</w:t>
      </w:r>
    </w:p>
    <w:p w14:paraId="4A614000" w14:textId="73B91F05" w:rsidR="00DC6F4D" w:rsidRPr="00CD693C" w:rsidRDefault="00DC6F4D" w:rsidP="00CD693C">
      <w:pPr>
        <w:spacing w:line="276" w:lineRule="auto"/>
        <w:ind w:left="720" w:hanging="360"/>
        <w:rPr>
          <w:szCs w:val="21"/>
        </w:rPr>
      </w:pPr>
      <w:r w:rsidRPr="00CD693C">
        <w:rPr>
          <w:szCs w:val="21"/>
        </w:rPr>
        <w:t>•</w:t>
      </w:r>
      <w:r w:rsidRPr="00CD693C">
        <w:rPr>
          <w:szCs w:val="21"/>
        </w:rPr>
        <w:tab/>
        <w:t xml:space="preserve">The </w:t>
      </w:r>
      <w:r w:rsidRPr="00CD693C">
        <w:rPr>
          <w:bCs/>
          <w:szCs w:val="21"/>
        </w:rPr>
        <w:t>development of self-determination skills</w:t>
      </w:r>
      <w:r w:rsidRPr="00CD693C">
        <w:rPr>
          <w:szCs w:val="21"/>
        </w:rPr>
        <w:t xml:space="preserve"> that enhance the ability to make decisions regarding the questions that affect one’s life and to act on the basis of these choices, should be a key focus of the vocational training process. Training must </w:t>
      </w:r>
      <w:r w:rsidRPr="00CD693C">
        <w:rPr>
          <w:b/>
          <w:bCs/>
          <w:szCs w:val="21"/>
        </w:rPr>
        <w:t>reinforce the activities that develop autonomy</w:t>
      </w:r>
      <w:r w:rsidRPr="00CD693C">
        <w:rPr>
          <w:szCs w:val="21"/>
        </w:rPr>
        <w:t xml:space="preserve"> and </w:t>
      </w:r>
      <w:proofErr w:type="spellStart"/>
      <w:r w:rsidRPr="00CD693C">
        <w:rPr>
          <w:szCs w:val="21"/>
        </w:rPr>
        <w:t>minimi</w:t>
      </w:r>
      <w:r w:rsidR="00C205E1" w:rsidRPr="00CD693C">
        <w:rPr>
          <w:szCs w:val="21"/>
        </w:rPr>
        <w:t>s</w:t>
      </w:r>
      <w:r w:rsidRPr="00CD693C">
        <w:rPr>
          <w:szCs w:val="21"/>
        </w:rPr>
        <w:t>e</w:t>
      </w:r>
      <w:proofErr w:type="spellEnd"/>
      <w:r w:rsidRPr="00CD693C">
        <w:rPr>
          <w:szCs w:val="21"/>
        </w:rPr>
        <w:t xml:space="preserve"> gradually the need for assistance and support in the work environment (Gomes-Machado et al., 2016). </w:t>
      </w:r>
    </w:p>
    <w:p w14:paraId="0FE119C4" w14:textId="77777777" w:rsidR="00DC6F4D" w:rsidRPr="00CD693C" w:rsidRDefault="00DC6F4D" w:rsidP="00CD693C">
      <w:pPr>
        <w:rPr>
          <w:szCs w:val="21"/>
        </w:rPr>
      </w:pPr>
    </w:p>
    <w:p w14:paraId="21A113F5" w14:textId="77777777" w:rsidR="00CD0575" w:rsidRDefault="00CD0575" w:rsidP="00CE427B">
      <w:pPr>
        <w:shd w:val="clear" w:color="auto" w:fill="FFFFFF"/>
        <w:spacing w:after="120" w:line="276" w:lineRule="auto"/>
        <w:ind w:left="446" w:hanging="446"/>
        <w:rPr>
          <w:rFonts w:cstheme="minorHAnsi"/>
          <w:lang w:val="en" w:eastAsia="en-AU"/>
        </w:rPr>
        <w:sectPr w:rsidR="00CD0575" w:rsidSect="008926C2">
          <w:pgSz w:w="11909" w:h="16834" w:code="9"/>
          <w:pgMar w:top="964" w:right="964" w:bottom="964" w:left="964" w:header="432" w:footer="720" w:gutter="0"/>
          <w:cols w:space="720"/>
          <w:docGrid w:linePitch="360"/>
        </w:sectPr>
      </w:pPr>
    </w:p>
    <w:p w14:paraId="15B0F67F" w14:textId="01DE9F09" w:rsidR="00CD0575" w:rsidRDefault="00CD0575" w:rsidP="00CE427B">
      <w:pPr>
        <w:pStyle w:val="Heading1"/>
        <w:pBdr>
          <w:bottom w:val="single" w:sz="4" w:space="1" w:color="auto"/>
        </w:pBdr>
        <w:spacing w:line="276" w:lineRule="auto"/>
      </w:pPr>
      <w:bookmarkStart w:id="83" w:name="_Toc49462469"/>
      <w:r>
        <w:lastRenderedPageBreak/>
        <w:t>evidence</w:t>
      </w:r>
      <w:r w:rsidR="008F341F">
        <w:t xml:space="preserve"> piece</w:t>
      </w:r>
      <w:r>
        <w:t xml:space="preserve"> 8:</w:t>
      </w:r>
      <w:bookmarkEnd w:id="83"/>
    </w:p>
    <w:p w14:paraId="33B8CCF7" w14:textId="2BBBD62B" w:rsidR="00CD0575" w:rsidRDefault="00CD0575" w:rsidP="00CE427B">
      <w:pPr>
        <w:pStyle w:val="Heading1"/>
        <w:pBdr>
          <w:bottom w:val="single" w:sz="4" w:space="1" w:color="auto"/>
        </w:pBdr>
        <w:spacing w:line="276" w:lineRule="auto"/>
      </w:pPr>
      <w:bookmarkStart w:id="84" w:name="_Toc49462470"/>
      <w:r>
        <w:t>The role of University education in</w:t>
      </w:r>
      <w:r w:rsidRPr="001744F5">
        <w:t xml:space="preserve"> employment </w:t>
      </w:r>
      <w:r>
        <w:t xml:space="preserve">and other </w:t>
      </w:r>
      <w:r w:rsidRPr="001744F5">
        <w:t>outcomes for people with intellectual disability</w:t>
      </w:r>
      <w:bookmarkEnd w:id="84"/>
    </w:p>
    <w:p w14:paraId="539BDDD8" w14:textId="77777777" w:rsidR="00CD0575" w:rsidRDefault="00CD0575" w:rsidP="00CE427B">
      <w:pPr>
        <w:pStyle w:val="Heading2"/>
        <w:spacing w:line="276" w:lineRule="auto"/>
      </w:pPr>
    </w:p>
    <w:p w14:paraId="1D9A9790" w14:textId="77777777" w:rsidR="00CD0575" w:rsidRDefault="00CD0575" w:rsidP="00CE427B">
      <w:pPr>
        <w:pStyle w:val="Heading2"/>
        <w:spacing w:after="120" w:line="276" w:lineRule="auto"/>
      </w:pPr>
      <w:bookmarkStart w:id="85" w:name="_Toc49417916"/>
      <w:r>
        <w:t>The right to post-secondary education</w:t>
      </w:r>
      <w:bookmarkEnd w:id="85"/>
    </w:p>
    <w:p w14:paraId="4EB53EF6" w14:textId="1D16DD19" w:rsidR="00CD0575" w:rsidRPr="00136527" w:rsidRDefault="00CD0575" w:rsidP="00136527">
      <w:pPr>
        <w:spacing w:line="276" w:lineRule="auto"/>
        <w:rPr>
          <w:rFonts w:asciiTheme="minorHAnsi" w:hAnsiTheme="minorHAnsi" w:cstheme="minorHAnsi"/>
          <w:szCs w:val="21"/>
        </w:rPr>
      </w:pPr>
      <w:r w:rsidRPr="00136527">
        <w:rPr>
          <w:rFonts w:asciiTheme="minorHAnsi" w:hAnsiTheme="minorHAnsi" w:cstheme="minorHAnsi"/>
          <w:szCs w:val="21"/>
        </w:rPr>
        <w:t xml:space="preserve">Australia is a signatory to the United Nations Convention on the Rights of Persons with Disabilities (UN, 2006), and has agreed to implement these rights in Australia. The UNCRPD, Article 24, affirms the right of people with disability to </w:t>
      </w:r>
      <w:r w:rsidR="00CD693C" w:rsidRPr="00136527">
        <w:rPr>
          <w:rFonts w:asciiTheme="minorHAnsi" w:hAnsiTheme="minorHAnsi" w:cstheme="minorHAnsi"/>
          <w:szCs w:val="21"/>
        </w:rPr>
        <w:t>“</w:t>
      </w:r>
      <w:r w:rsidRPr="00136527">
        <w:rPr>
          <w:rFonts w:asciiTheme="minorHAnsi" w:hAnsiTheme="minorHAnsi" w:cstheme="minorHAnsi"/>
          <w:szCs w:val="21"/>
        </w:rPr>
        <w:t>access general tertiary education, vocational training, adult education and lifelong learning without discrimination and on an equal basis with others.</w:t>
      </w:r>
      <w:r w:rsidR="00CD693C" w:rsidRPr="00136527">
        <w:rPr>
          <w:rFonts w:asciiTheme="minorHAnsi" w:hAnsiTheme="minorHAnsi" w:cstheme="minorHAnsi"/>
          <w:szCs w:val="21"/>
        </w:rPr>
        <w:t>”</w:t>
      </w:r>
      <w:r w:rsidRPr="00136527">
        <w:rPr>
          <w:rFonts w:asciiTheme="minorHAnsi" w:hAnsiTheme="minorHAnsi" w:cstheme="minorHAnsi"/>
          <w:szCs w:val="21"/>
        </w:rPr>
        <w:t xml:space="preserve"> Various Australian </w:t>
      </w:r>
      <w:r w:rsidR="000F7977" w:rsidRPr="00136527">
        <w:rPr>
          <w:rFonts w:asciiTheme="minorHAnsi" w:hAnsiTheme="minorHAnsi" w:cstheme="minorHAnsi"/>
          <w:szCs w:val="21"/>
        </w:rPr>
        <w:t>G</w:t>
      </w:r>
      <w:r w:rsidRPr="00136527">
        <w:rPr>
          <w:rFonts w:asciiTheme="minorHAnsi" w:hAnsiTheme="minorHAnsi" w:cstheme="minorHAnsi"/>
          <w:szCs w:val="21"/>
        </w:rPr>
        <w:t>overnment policy and legislation echoes this right including the Australian Disability Standards for Education (</w:t>
      </w:r>
      <w:r w:rsidR="00323006" w:rsidRPr="00136527">
        <w:rPr>
          <w:rFonts w:asciiTheme="minorHAnsi" w:hAnsiTheme="minorHAnsi" w:cstheme="minorHAnsi"/>
          <w:szCs w:val="21"/>
        </w:rPr>
        <w:t>Department of Education, Skills and Employment</w:t>
      </w:r>
      <w:r w:rsidRPr="00136527">
        <w:rPr>
          <w:rFonts w:asciiTheme="minorHAnsi" w:hAnsiTheme="minorHAnsi" w:cstheme="minorHAnsi"/>
          <w:szCs w:val="21"/>
        </w:rPr>
        <w:t xml:space="preserve">, 2005) </w:t>
      </w:r>
      <w:r w:rsidR="00AB2647">
        <w:rPr>
          <w:szCs w:val="21"/>
        </w:rPr>
        <w:t xml:space="preserve">which supply “a framework to ensure </w:t>
      </w:r>
      <w:r w:rsidR="00AB2647" w:rsidRPr="00CD693C">
        <w:rPr>
          <w:szCs w:val="21"/>
        </w:rPr>
        <w:t>that students with disability are able to access and participate in education on the same basis as other students” (</w:t>
      </w:r>
      <w:r w:rsidR="00AB2647">
        <w:rPr>
          <w:szCs w:val="21"/>
        </w:rPr>
        <w:t xml:space="preserve">Department of Education and Training, 2015, </w:t>
      </w:r>
      <w:r w:rsidR="00AB2647" w:rsidRPr="00CD693C">
        <w:rPr>
          <w:szCs w:val="21"/>
        </w:rPr>
        <w:t xml:space="preserve">p. </w:t>
      </w:r>
      <w:r w:rsidR="00AB2647">
        <w:rPr>
          <w:szCs w:val="21"/>
        </w:rPr>
        <w:t>1</w:t>
      </w:r>
      <w:r w:rsidR="00AB2647" w:rsidRPr="00CD693C">
        <w:rPr>
          <w:szCs w:val="21"/>
        </w:rPr>
        <w:t xml:space="preserve">).  </w:t>
      </w:r>
    </w:p>
    <w:p w14:paraId="1A3D406E" w14:textId="77777777" w:rsidR="00CD0575" w:rsidRDefault="00CD0575" w:rsidP="00CE427B">
      <w:pPr>
        <w:pStyle w:val="Heading2"/>
        <w:spacing w:after="120" w:line="276" w:lineRule="auto"/>
      </w:pPr>
      <w:bookmarkStart w:id="86" w:name="_Toc49417917"/>
      <w:r>
        <w:t>What are the post-secondary education options?</w:t>
      </w:r>
      <w:bookmarkEnd w:id="86"/>
    </w:p>
    <w:p w14:paraId="3ADD865E" w14:textId="723000D7" w:rsidR="00CD0575" w:rsidRPr="00136527" w:rsidRDefault="00CD0575" w:rsidP="00136527">
      <w:pPr>
        <w:spacing w:line="276" w:lineRule="auto"/>
        <w:rPr>
          <w:rFonts w:asciiTheme="minorHAnsi" w:hAnsiTheme="minorHAnsi" w:cstheme="minorHAnsi"/>
          <w:szCs w:val="21"/>
        </w:rPr>
      </w:pPr>
      <w:r w:rsidRPr="00136527">
        <w:rPr>
          <w:rFonts w:asciiTheme="minorHAnsi" w:hAnsiTheme="minorHAnsi" w:cstheme="minorHAnsi"/>
          <w:szCs w:val="21"/>
        </w:rPr>
        <w:t xml:space="preserve">There are two main post-school education options in Australia: tertiary or </w:t>
      </w:r>
      <w:r w:rsidR="000F7977" w:rsidRPr="00136527">
        <w:rPr>
          <w:rFonts w:asciiTheme="minorHAnsi" w:hAnsiTheme="minorHAnsi" w:cstheme="minorHAnsi"/>
          <w:szCs w:val="21"/>
        </w:rPr>
        <w:t>u</w:t>
      </w:r>
      <w:r w:rsidRPr="00136527">
        <w:rPr>
          <w:rFonts w:asciiTheme="minorHAnsi" w:hAnsiTheme="minorHAnsi" w:cstheme="minorHAnsi"/>
          <w:szCs w:val="21"/>
        </w:rPr>
        <w:t xml:space="preserve">niversity level education, and vocational education and training (VET) often known as TAFE. However, it is important to note that while these are called ‘post-secondary’, there are opportunities to commence some of these options whilst still undertaking secondary education in mainstream or special schools.  </w:t>
      </w:r>
    </w:p>
    <w:p w14:paraId="5F7885C9" w14:textId="77777777" w:rsidR="00CD0575" w:rsidRPr="000C3B00" w:rsidRDefault="00CD0575" w:rsidP="00CE427B">
      <w:pPr>
        <w:pStyle w:val="Heading2"/>
      </w:pPr>
      <w:bookmarkStart w:id="87" w:name="_Toc49417918"/>
      <w:r w:rsidRPr="000C3B00">
        <w:t>Universities and higher education providers</w:t>
      </w:r>
      <w:bookmarkEnd w:id="87"/>
    </w:p>
    <w:p w14:paraId="2DB14E5B" w14:textId="2BA778E3" w:rsidR="00CD0575" w:rsidRPr="00136527" w:rsidRDefault="00CD0575" w:rsidP="00136527">
      <w:pPr>
        <w:spacing w:line="276" w:lineRule="auto"/>
        <w:rPr>
          <w:rFonts w:asciiTheme="minorHAnsi" w:hAnsiTheme="minorHAnsi" w:cstheme="minorHAnsi"/>
          <w:szCs w:val="21"/>
        </w:rPr>
      </w:pPr>
      <w:r w:rsidRPr="00136527">
        <w:rPr>
          <w:rFonts w:asciiTheme="minorHAnsi" w:hAnsiTheme="minorHAnsi" w:cstheme="minorHAnsi"/>
          <w:szCs w:val="21"/>
        </w:rPr>
        <w:t>Australia’s higher education system is made up of universities and higher education providers. There are 125 registered higher education providers in Australia, including 43 universities with over one million enrolled students (</w:t>
      </w:r>
      <w:r w:rsidR="00AF3D07" w:rsidRPr="00136527">
        <w:rPr>
          <w:rFonts w:asciiTheme="minorHAnsi" w:hAnsiTheme="minorHAnsi" w:cstheme="minorHAnsi"/>
          <w:szCs w:val="21"/>
        </w:rPr>
        <w:t>Australian Trade and Investment Commission</w:t>
      </w:r>
      <w:r w:rsidRPr="00136527">
        <w:rPr>
          <w:rFonts w:asciiTheme="minorHAnsi" w:hAnsiTheme="minorHAnsi" w:cstheme="minorHAnsi"/>
          <w:szCs w:val="21"/>
        </w:rPr>
        <w:t>, 2016</w:t>
      </w:r>
      <w:r w:rsidR="00AF3D07" w:rsidRPr="00136527">
        <w:rPr>
          <w:rFonts w:asciiTheme="minorHAnsi" w:hAnsiTheme="minorHAnsi" w:cstheme="minorHAnsi"/>
          <w:szCs w:val="21"/>
        </w:rPr>
        <w:t>, p.</w:t>
      </w:r>
      <w:r w:rsidRPr="00136527">
        <w:rPr>
          <w:rFonts w:asciiTheme="minorHAnsi" w:hAnsiTheme="minorHAnsi" w:cstheme="minorHAnsi"/>
          <w:szCs w:val="21"/>
        </w:rPr>
        <w:t xml:space="preserve"> 27). </w:t>
      </w:r>
    </w:p>
    <w:p w14:paraId="0617C6D7" w14:textId="77777777" w:rsidR="00CD0575" w:rsidRPr="00136527" w:rsidRDefault="00CD0575" w:rsidP="00136527">
      <w:pPr>
        <w:spacing w:line="276" w:lineRule="auto"/>
        <w:rPr>
          <w:rFonts w:asciiTheme="minorHAnsi" w:hAnsiTheme="minorHAnsi" w:cstheme="minorHAnsi"/>
          <w:szCs w:val="21"/>
        </w:rPr>
      </w:pPr>
      <w:r w:rsidRPr="00136527">
        <w:rPr>
          <w:rFonts w:asciiTheme="minorHAnsi" w:hAnsiTheme="minorHAnsi" w:cstheme="minorHAnsi"/>
          <w:szCs w:val="21"/>
        </w:rPr>
        <w:t>Higher education is open to those over 17 years of age and admission requirements are variable by State/Territory and course. In Victoria they include:</w:t>
      </w:r>
    </w:p>
    <w:p w14:paraId="5933C80C" w14:textId="77777777" w:rsidR="00CD0575" w:rsidRPr="00136527" w:rsidRDefault="00CD0575" w:rsidP="00136527">
      <w:pPr>
        <w:pStyle w:val="ListParagraph"/>
        <w:numPr>
          <w:ilvl w:val="0"/>
          <w:numId w:val="30"/>
        </w:numPr>
        <w:spacing w:line="276" w:lineRule="auto"/>
        <w:rPr>
          <w:rFonts w:asciiTheme="minorHAnsi" w:hAnsiTheme="minorHAnsi" w:cstheme="minorHAnsi"/>
          <w:szCs w:val="21"/>
        </w:rPr>
      </w:pPr>
      <w:r w:rsidRPr="00136527">
        <w:rPr>
          <w:rFonts w:asciiTheme="minorHAnsi" w:hAnsiTheme="minorHAnsi" w:cstheme="minorHAnsi"/>
          <w:szCs w:val="21"/>
        </w:rPr>
        <w:t xml:space="preserve">satisfactory completion of an Australian or overseas Year 12 program (for example VCE, IB, HSC, or equivalents from interstate or overseas). This includes the satisfactory completion of the VCE and Units 3 and 4 of one of the following English studies: English, English as an Additional Language, Literature or English Language. </w:t>
      </w:r>
    </w:p>
    <w:p w14:paraId="328E5910" w14:textId="77777777" w:rsidR="00CD0575" w:rsidRPr="00136527" w:rsidRDefault="00CD0575" w:rsidP="00136527">
      <w:pPr>
        <w:pStyle w:val="ListParagraph"/>
        <w:numPr>
          <w:ilvl w:val="0"/>
          <w:numId w:val="30"/>
        </w:numPr>
        <w:spacing w:line="276" w:lineRule="auto"/>
        <w:rPr>
          <w:rFonts w:asciiTheme="minorHAnsi" w:hAnsiTheme="minorHAnsi" w:cstheme="minorHAnsi"/>
          <w:szCs w:val="21"/>
        </w:rPr>
      </w:pPr>
      <w:r w:rsidRPr="00136527">
        <w:rPr>
          <w:rFonts w:asciiTheme="minorHAnsi" w:hAnsiTheme="minorHAnsi" w:cstheme="minorHAnsi"/>
          <w:szCs w:val="21"/>
        </w:rPr>
        <w:t>some higher education providers will consider senior secondary qualifications like Senior VCAL.</w:t>
      </w:r>
    </w:p>
    <w:p w14:paraId="19FB9973" w14:textId="571CCCB6" w:rsidR="00CD0575" w:rsidRPr="00136527" w:rsidRDefault="00CD0575" w:rsidP="00136527">
      <w:pPr>
        <w:pStyle w:val="ListParagraph"/>
        <w:numPr>
          <w:ilvl w:val="0"/>
          <w:numId w:val="30"/>
        </w:numPr>
        <w:spacing w:line="276" w:lineRule="auto"/>
        <w:rPr>
          <w:rFonts w:asciiTheme="minorHAnsi" w:hAnsiTheme="minorHAnsi" w:cstheme="minorHAnsi"/>
          <w:szCs w:val="21"/>
        </w:rPr>
      </w:pPr>
      <w:r w:rsidRPr="00136527">
        <w:rPr>
          <w:rFonts w:asciiTheme="minorHAnsi" w:hAnsiTheme="minorHAnsi" w:cstheme="minorHAnsi"/>
          <w:szCs w:val="21"/>
        </w:rPr>
        <w:t>completion of any part of a tertiary qualification at Certificate IV level or higher. For example, Certificate IV, Diploma, Advanced Diploma, Associate Degree and Degree studies, or overseas equivalents</w:t>
      </w:r>
      <w:r w:rsidR="00B00DBE">
        <w:rPr>
          <w:rFonts w:asciiTheme="minorHAnsi" w:hAnsiTheme="minorHAnsi" w:cstheme="minorHAnsi"/>
          <w:szCs w:val="21"/>
        </w:rPr>
        <w:t xml:space="preserve"> </w:t>
      </w:r>
      <w:r w:rsidRPr="00136527">
        <w:rPr>
          <w:rFonts w:asciiTheme="minorHAnsi" w:hAnsiTheme="minorHAnsi" w:cstheme="minorHAnsi"/>
          <w:szCs w:val="21"/>
        </w:rPr>
        <w:t>(Victorian Tertiary Admissions Centre</w:t>
      </w:r>
      <w:r w:rsidR="0011277A" w:rsidRPr="00136527">
        <w:rPr>
          <w:rFonts w:asciiTheme="minorHAnsi" w:hAnsiTheme="minorHAnsi" w:cstheme="minorHAnsi"/>
          <w:szCs w:val="21"/>
        </w:rPr>
        <w:t>,</w:t>
      </w:r>
      <w:r w:rsidRPr="00136527">
        <w:rPr>
          <w:rFonts w:asciiTheme="minorHAnsi" w:hAnsiTheme="minorHAnsi" w:cstheme="minorHAnsi"/>
          <w:szCs w:val="21"/>
        </w:rPr>
        <w:t xml:space="preserve"> </w:t>
      </w:r>
      <w:r w:rsidR="0011277A" w:rsidRPr="00136527">
        <w:rPr>
          <w:rFonts w:asciiTheme="minorHAnsi" w:hAnsiTheme="minorHAnsi" w:cstheme="minorHAnsi"/>
          <w:szCs w:val="21"/>
        </w:rPr>
        <w:t>n.d.</w:t>
      </w:r>
      <w:r w:rsidRPr="00136527">
        <w:rPr>
          <w:rFonts w:asciiTheme="minorHAnsi" w:hAnsiTheme="minorHAnsi" w:cstheme="minorHAnsi"/>
          <w:szCs w:val="21"/>
        </w:rPr>
        <w:t>)</w:t>
      </w:r>
      <w:r w:rsidR="00B00DBE">
        <w:rPr>
          <w:rFonts w:asciiTheme="minorHAnsi" w:hAnsiTheme="minorHAnsi" w:cstheme="minorHAnsi"/>
          <w:szCs w:val="21"/>
        </w:rPr>
        <w:t>.</w:t>
      </w:r>
    </w:p>
    <w:p w14:paraId="643A9410" w14:textId="77777777" w:rsidR="00CD0575" w:rsidRPr="007F72AE" w:rsidRDefault="00CD0575" w:rsidP="00CE427B">
      <w:pPr>
        <w:pStyle w:val="Heading2"/>
        <w:spacing w:line="276" w:lineRule="auto"/>
      </w:pPr>
      <w:bookmarkStart w:id="88" w:name="_Toc49417919"/>
      <w:r w:rsidRPr="007F72AE">
        <w:t>The problem – the low rates of post-</w:t>
      </w:r>
      <w:r>
        <w:t>secondary</w:t>
      </w:r>
      <w:r w:rsidRPr="007F72AE">
        <w:t xml:space="preserve"> education for people with </w:t>
      </w:r>
      <w:r>
        <w:t>intellectual disability</w:t>
      </w:r>
      <w:bookmarkEnd w:id="88"/>
    </w:p>
    <w:p w14:paraId="364F0800" w14:textId="7DB613AA" w:rsidR="00CD0575" w:rsidRPr="00136527" w:rsidRDefault="00CD0575" w:rsidP="00136527">
      <w:pPr>
        <w:spacing w:line="276" w:lineRule="auto"/>
        <w:rPr>
          <w:rFonts w:asciiTheme="minorHAnsi" w:hAnsiTheme="minorHAnsi" w:cstheme="minorHAnsi"/>
          <w:szCs w:val="21"/>
        </w:rPr>
      </w:pPr>
      <w:r w:rsidRPr="00136527">
        <w:rPr>
          <w:rFonts w:asciiTheme="minorHAnsi" w:hAnsiTheme="minorHAnsi" w:cstheme="minorHAnsi"/>
          <w:szCs w:val="21"/>
        </w:rPr>
        <w:t>Young adults with intellectual disability often share the same aspirations as other students without disabilities about attending post-secondary education and gaining skills needed to obtain employment (Carnevale</w:t>
      </w:r>
      <w:r w:rsidR="00DC745C" w:rsidRPr="00136527">
        <w:rPr>
          <w:rFonts w:asciiTheme="minorHAnsi" w:hAnsiTheme="minorHAnsi" w:cstheme="minorHAnsi"/>
          <w:szCs w:val="21"/>
        </w:rPr>
        <w:t xml:space="preserve"> et al.</w:t>
      </w:r>
      <w:r w:rsidRPr="00136527">
        <w:rPr>
          <w:rFonts w:asciiTheme="minorHAnsi" w:hAnsiTheme="minorHAnsi" w:cstheme="minorHAnsi"/>
          <w:szCs w:val="21"/>
        </w:rPr>
        <w:t>, 2010</w:t>
      </w:r>
      <w:r w:rsidR="00DC745C" w:rsidRPr="00136527">
        <w:rPr>
          <w:rFonts w:asciiTheme="minorHAnsi" w:hAnsiTheme="minorHAnsi" w:cstheme="minorHAnsi"/>
          <w:szCs w:val="21"/>
        </w:rPr>
        <w:t>, cited</w:t>
      </w:r>
      <w:r w:rsidRPr="00136527">
        <w:rPr>
          <w:rFonts w:asciiTheme="minorHAnsi" w:hAnsiTheme="minorHAnsi" w:cstheme="minorHAnsi"/>
          <w:szCs w:val="21"/>
        </w:rPr>
        <w:t xml:space="preserve"> in </w:t>
      </w:r>
      <w:proofErr w:type="spellStart"/>
      <w:r w:rsidRPr="00136527">
        <w:rPr>
          <w:rFonts w:asciiTheme="minorHAnsi" w:hAnsiTheme="minorHAnsi" w:cstheme="minorHAnsi"/>
          <w:szCs w:val="21"/>
        </w:rPr>
        <w:lastRenderedPageBreak/>
        <w:t>Wehman</w:t>
      </w:r>
      <w:proofErr w:type="spellEnd"/>
      <w:r w:rsidRPr="00136527">
        <w:rPr>
          <w:rFonts w:asciiTheme="minorHAnsi" w:hAnsiTheme="minorHAnsi" w:cstheme="minorHAnsi"/>
          <w:szCs w:val="21"/>
        </w:rPr>
        <w:t xml:space="preserve"> et al.</w:t>
      </w:r>
      <w:r w:rsidR="00630692" w:rsidRPr="00136527">
        <w:rPr>
          <w:rFonts w:asciiTheme="minorHAnsi" w:hAnsiTheme="minorHAnsi" w:cstheme="minorHAnsi"/>
          <w:szCs w:val="21"/>
        </w:rPr>
        <w:t>,</w:t>
      </w:r>
      <w:r w:rsidRPr="00136527">
        <w:rPr>
          <w:rFonts w:asciiTheme="minorHAnsi" w:hAnsiTheme="minorHAnsi" w:cstheme="minorHAnsi"/>
          <w:szCs w:val="21"/>
        </w:rPr>
        <w:t xml:space="preserve"> 2018). However, the expectation for students with intellectual disability to attend university/college</w:t>
      </w:r>
      <w:r w:rsidRPr="00136527">
        <w:rPr>
          <w:rStyle w:val="FootnoteReference"/>
          <w:rFonts w:asciiTheme="minorHAnsi" w:hAnsiTheme="minorHAnsi" w:cstheme="minorHAnsi"/>
          <w:szCs w:val="21"/>
        </w:rPr>
        <w:footnoteReference w:id="2"/>
      </w:r>
      <w:r w:rsidRPr="00136527">
        <w:rPr>
          <w:rFonts w:asciiTheme="minorHAnsi" w:hAnsiTheme="minorHAnsi" w:cstheme="minorHAnsi"/>
          <w:szCs w:val="21"/>
        </w:rPr>
        <w:t xml:space="preserve"> and other forms of post-secondary education has not been adequately appreciated by families and many relevant professionals (Butler et al.</w:t>
      </w:r>
      <w:r w:rsidR="00E35AAA" w:rsidRPr="00136527">
        <w:rPr>
          <w:rFonts w:asciiTheme="minorHAnsi" w:hAnsiTheme="minorHAnsi" w:cstheme="minorHAnsi"/>
          <w:szCs w:val="21"/>
        </w:rPr>
        <w:t>,</w:t>
      </w:r>
      <w:r w:rsidRPr="00136527">
        <w:rPr>
          <w:rFonts w:asciiTheme="minorHAnsi" w:hAnsiTheme="minorHAnsi" w:cstheme="minorHAnsi"/>
          <w:szCs w:val="21"/>
        </w:rPr>
        <w:t xml:space="preserve"> 2016). </w:t>
      </w:r>
    </w:p>
    <w:p w14:paraId="10F2A7D8" w14:textId="77777777" w:rsidR="00CD0575" w:rsidRPr="00136527" w:rsidRDefault="00CD0575" w:rsidP="00136527">
      <w:pPr>
        <w:spacing w:line="276" w:lineRule="auto"/>
        <w:rPr>
          <w:rFonts w:asciiTheme="minorHAnsi" w:hAnsiTheme="minorHAnsi" w:cstheme="minorHAnsi"/>
          <w:szCs w:val="21"/>
        </w:rPr>
      </w:pPr>
      <w:r w:rsidRPr="00136527">
        <w:rPr>
          <w:rFonts w:asciiTheme="minorHAnsi" w:hAnsiTheme="minorHAnsi" w:cstheme="minorHAnsi"/>
          <w:szCs w:val="21"/>
        </w:rPr>
        <w:t xml:space="preserve">This lack of knowledge of the advantages of post-secondary education for people with intellectual disability contributes to low numbers of enrolments. Despite its impact on later opportunities, people with intellectual disability are far less likely than their age peers without disability to move into post-secondary education – both internationally and in Australia (Australian Institute of Health and Welfare, 2008; Davies &amp; Beamish, 2009; Stanwick, Forrest, &amp; </w:t>
      </w:r>
      <w:proofErr w:type="spellStart"/>
      <w:r w:rsidRPr="00136527">
        <w:rPr>
          <w:rFonts w:asciiTheme="minorHAnsi" w:hAnsiTheme="minorHAnsi" w:cstheme="minorHAnsi"/>
          <w:szCs w:val="21"/>
        </w:rPr>
        <w:t>Skujins</w:t>
      </w:r>
      <w:proofErr w:type="spellEnd"/>
      <w:r w:rsidRPr="00136527">
        <w:rPr>
          <w:rFonts w:asciiTheme="minorHAnsi" w:hAnsiTheme="minorHAnsi" w:cstheme="minorHAnsi"/>
          <w:szCs w:val="21"/>
        </w:rPr>
        <w:t xml:space="preserve">, 2017). While there is no recent data, the Australian Institute of Health and Welfare found that based on 2003 data, the proportion of 20-24 years </w:t>
      </w:r>
      <w:proofErr w:type="spellStart"/>
      <w:r w:rsidRPr="00136527">
        <w:rPr>
          <w:rFonts w:asciiTheme="minorHAnsi" w:hAnsiTheme="minorHAnsi" w:cstheme="minorHAnsi"/>
          <w:szCs w:val="21"/>
        </w:rPr>
        <w:t>olds</w:t>
      </w:r>
      <w:proofErr w:type="spellEnd"/>
      <w:r w:rsidRPr="00136527">
        <w:rPr>
          <w:rFonts w:asciiTheme="minorHAnsi" w:hAnsiTheme="minorHAnsi" w:cstheme="minorHAnsi"/>
          <w:szCs w:val="21"/>
        </w:rPr>
        <w:t xml:space="preserve"> with intellectual disability who participated in post school education was approximately 9%, while for those over 25 years it was less than 5% (Australian Institute of Health and Welfare, 2008).</w:t>
      </w:r>
    </w:p>
    <w:p w14:paraId="481DB3A7" w14:textId="41B127F9" w:rsidR="00CD0575" w:rsidRPr="00136527" w:rsidRDefault="00CD0575" w:rsidP="00136527">
      <w:pPr>
        <w:spacing w:line="276" w:lineRule="auto"/>
        <w:rPr>
          <w:rFonts w:asciiTheme="minorHAnsi" w:hAnsiTheme="minorHAnsi" w:cstheme="minorHAnsi"/>
          <w:szCs w:val="21"/>
        </w:rPr>
      </w:pPr>
      <w:r w:rsidRPr="00136527">
        <w:rPr>
          <w:rFonts w:asciiTheme="minorHAnsi" w:hAnsiTheme="minorHAnsi" w:cstheme="minorHAnsi"/>
          <w:szCs w:val="21"/>
        </w:rPr>
        <w:t>For youth with intellectual disability, there is a large disparity in education and employment outcomes. A significant body of evidence from the United States shows that among all disability groups, youth (aged 16-26) with intellectual disability have lower rates of preparation for work after high school and lower rates of post-secondary education participation (Miller</w:t>
      </w:r>
      <w:r w:rsidR="002645F5" w:rsidRPr="00136527">
        <w:rPr>
          <w:rFonts w:asciiTheme="minorHAnsi" w:hAnsiTheme="minorHAnsi" w:cstheme="minorHAnsi"/>
          <w:szCs w:val="21"/>
        </w:rPr>
        <w:t xml:space="preserve"> et al.</w:t>
      </w:r>
      <w:r w:rsidRPr="00136527">
        <w:rPr>
          <w:rFonts w:asciiTheme="minorHAnsi" w:hAnsiTheme="minorHAnsi" w:cstheme="minorHAnsi"/>
          <w:szCs w:val="21"/>
        </w:rPr>
        <w:t>, 2019). Further, when students do attend post-secondary education, retention of students to degree completion remains a widespread issue (</w:t>
      </w:r>
      <w:proofErr w:type="spellStart"/>
      <w:r w:rsidRPr="00136527">
        <w:rPr>
          <w:rFonts w:asciiTheme="minorHAnsi" w:hAnsiTheme="minorHAnsi" w:cstheme="minorHAnsi"/>
          <w:szCs w:val="21"/>
        </w:rPr>
        <w:t>Wehman</w:t>
      </w:r>
      <w:proofErr w:type="spellEnd"/>
      <w:r w:rsidRPr="00136527">
        <w:rPr>
          <w:rFonts w:asciiTheme="minorHAnsi" w:hAnsiTheme="minorHAnsi" w:cstheme="minorHAnsi"/>
          <w:szCs w:val="21"/>
        </w:rPr>
        <w:t xml:space="preserve"> et al.</w:t>
      </w:r>
      <w:r w:rsidR="00630692" w:rsidRPr="00136527">
        <w:rPr>
          <w:rFonts w:asciiTheme="minorHAnsi" w:hAnsiTheme="minorHAnsi" w:cstheme="minorHAnsi"/>
          <w:szCs w:val="21"/>
        </w:rPr>
        <w:t>,</w:t>
      </w:r>
      <w:r w:rsidRPr="00136527">
        <w:rPr>
          <w:rFonts w:asciiTheme="minorHAnsi" w:hAnsiTheme="minorHAnsi" w:cstheme="minorHAnsi"/>
          <w:szCs w:val="21"/>
        </w:rPr>
        <w:t xml:space="preserve"> 2018).</w:t>
      </w:r>
    </w:p>
    <w:p w14:paraId="3681F1A0" w14:textId="77777777" w:rsidR="00CD0575" w:rsidRDefault="00CD0575" w:rsidP="00CE427B">
      <w:pPr>
        <w:pStyle w:val="Heading2"/>
        <w:spacing w:after="120" w:line="276" w:lineRule="auto"/>
      </w:pPr>
      <w:bookmarkStart w:id="89" w:name="_Toc49417920"/>
      <w:bookmarkStart w:id="90" w:name="_Hlk40704576"/>
      <w:r>
        <w:t>Outcomes of University Education</w:t>
      </w:r>
      <w:bookmarkEnd w:id="89"/>
      <w:r>
        <w:t xml:space="preserve"> </w:t>
      </w:r>
    </w:p>
    <w:bookmarkEnd w:id="90"/>
    <w:p w14:paraId="321F4671" w14:textId="77777777" w:rsidR="00CD0575" w:rsidRPr="00136527" w:rsidRDefault="00CD0575" w:rsidP="00136527">
      <w:pPr>
        <w:spacing w:line="276" w:lineRule="auto"/>
        <w:rPr>
          <w:rFonts w:asciiTheme="minorHAnsi" w:hAnsiTheme="minorHAnsi" w:cstheme="minorHAnsi"/>
          <w:szCs w:val="21"/>
        </w:rPr>
      </w:pPr>
      <w:r w:rsidRPr="00136527">
        <w:rPr>
          <w:rFonts w:asciiTheme="minorHAnsi" w:hAnsiTheme="minorHAnsi" w:cstheme="minorHAnsi"/>
          <w:szCs w:val="21"/>
        </w:rPr>
        <w:t>A range of studies have demonstrated the benefits of a university education. While the components of the education will vary across programs the evidence indicates a consistent range of outcomes:</w:t>
      </w:r>
    </w:p>
    <w:p w14:paraId="74DE232E" w14:textId="75C1D750" w:rsidR="00CD0575" w:rsidRPr="00136527" w:rsidRDefault="00CD0575" w:rsidP="00136527">
      <w:pPr>
        <w:pStyle w:val="ListParagraph"/>
        <w:numPr>
          <w:ilvl w:val="0"/>
          <w:numId w:val="27"/>
        </w:numPr>
        <w:spacing w:line="276" w:lineRule="auto"/>
        <w:contextualSpacing w:val="0"/>
        <w:rPr>
          <w:rFonts w:asciiTheme="minorHAnsi" w:hAnsiTheme="minorHAnsi" w:cstheme="minorHAnsi"/>
          <w:szCs w:val="21"/>
        </w:rPr>
      </w:pPr>
      <w:r w:rsidRPr="00136527">
        <w:rPr>
          <w:rFonts w:asciiTheme="minorHAnsi" w:hAnsiTheme="minorHAnsi" w:cstheme="minorHAnsi"/>
          <w:szCs w:val="21"/>
        </w:rPr>
        <w:t xml:space="preserve">Persons with and without disabilities who have undertaken post-secondary education experience </w:t>
      </w:r>
      <w:r w:rsidRPr="00136527">
        <w:rPr>
          <w:rFonts w:asciiTheme="minorHAnsi" w:hAnsiTheme="minorHAnsi" w:cstheme="minorHAnsi"/>
          <w:b/>
          <w:bCs/>
          <w:szCs w:val="21"/>
        </w:rPr>
        <w:t>higher rates of employment and income</w:t>
      </w:r>
      <w:r w:rsidRPr="00136527">
        <w:rPr>
          <w:rFonts w:asciiTheme="minorHAnsi" w:hAnsiTheme="minorHAnsi" w:cstheme="minorHAnsi"/>
          <w:szCs w:val="21"/>
        </w:rPr>
        <w:t>. Data over a range of studies, particularly in the U.S., Canada and the U.K., demonstrates the pattern of increased employment for individuals with intellectual disability who attended university programs (Moore &amp; Schelling, 2015). Education offers a variety of advantages for individuals, with more education resulting in higher rates of employment, regardless of disability (Smith</w:t>
      </w:r>
      <w:r w:rsidR="00E06552" w:rsidRPr="00136527">
        <w:rPr>
          <w:rFonts w:asciiTheme="minorHAnsi" w:hAnsiTheme="minorHAnsi" w:cstheme="minorHAnsi"/>
          <w:szCs w:val="21"/>
        </w:rPr>
        <w:t xml:space="preserve"> et al.</w:t>
      </w:r>
      <w:r w:rsidRPr="00136527">
        <w:rPr>
          <w:rFonts w:asciiTheme="minorHAnsi" w:hAnsiTheme="minorHAnsi" w:cstheme="minorHAnsi"/>
          <w:szCs w:val="21"/>
        </w:rPr>
        <w:t>, 2012; Butler et al., 2016).</w:t>
      </w:r>
    </w:p>
    <w:p w14:paraId="08F89C84" w14:textId="13313B6C" w:rsidR="00CD0575" w:rsidRPr="00136527" w:rsidRDefault="00CD0575" w:rsidP="00136527">
      <w:pPr>
        <w:pStyle w:val="ListParagraph"/>
        <w:numPr>
          <w:ilvl w:val="0"/>
          <w:numId w:val="27"/>
        </w:numPr>
        <w:spacing w:line="276" w:lineRule="auto"/>
        <w:ind w:left="714" w:hanging="357"/>
        <w:contextualSpacing w:val="0"/>
        <w:rPr>
          <w:rFonts w:asciiTheme="minorHAnsi" w:hAnsiTheme="minorHAnsi" w:cstheme="minorHAnsi"/>
          <w:szCs w:val="21"/>
        </w:rPr>
      </w:pPr>
      <w:r w:rsidRPr="00136527">
        <w:rPr>
          <w:rFonts w:asciiTheme="minorHAnsi" w:hAnsiTheme="minorHAnsi" w:cstheme="minorHAnsi"/>
          <w:szCs w:val="21"/>
        </w:rPr>
        <w:t xml:space="preserve">In studies in the US, employees with intellectual disability who have post-secondary educational experience </w:t>
      </w:r>
      <w:r w:rsidRPr="00136527">
        <w:rPr>
          <w:rFonts w:asciiTheme="minorHAnsi" w:hAnsiTheme="minorHAnsi" w:cstheme="minorHAnsi"/>
          <w:b/>
          <w:bCs/>
          <w:szCs w:val="21"/>
        </w:rPr>
        <w:t>work more hours and earn higher wages</w:t>
      </w:r>
      <w:r w:rsidRPr="00136527">
        <w:rPr>
          <w:rFonts w:asciiTheme="minorHAnsi" w:hAnsiTheme="minorHAnsi" w:cstheme="minorHAnsi"/>
          <w:szCs w:val="21"/>
        </w:rPr>
        <w:t xml:space="preserve"> across a wider range of occupations than youth with less education (</w:t>
      </w:r>
      <w:proofErr w:type="spellStart"/>
      <w:r w:rsidRPr="00136527">
        <w:rPr>
          <w:rFonts w:asciiTheme="minorHAnsi" w:hAnsiTheme="minorHAnsi" w:cstheme="minorHAnsi"/>
          <w:szCs w:val="21"/>
        </w:rPr>
        <w:t>Wehman</w:t>
      </w:r>
      <w:proofErr w:type="spellEnd"/>
      <w:r w:rsidRPr="00136527">
        <w:rPr>
          <w:rFonts w:asciiTheme="minorHAnsi" w:hAnsiTheme="minorHAnsi" w:cstheme="minorHAnsi"/>
          <w:szCs w:val="21"/>
        </w:rPr>
        <w:t xml:space="preserve"> et al.</w:t>
      </w:r>
      <w:r w:rsidR="00630692" w:rsidRPr="00136527">
        <w:rPr>
          <w:rFonts w:asciiTheme="minorHAnsi" w:hAnsiTheme="minorHAnsi" w:cstheme="minorHAnsi"/>
          <w:szCs w:val="21"/>
        </w:rPr>
        <w:t>,</w:t>
      </w:r>
      <w:r w:rsidRPr="00136527">
        <w:rPr>
          <w:rFonts w:asciiTheme="minorHAnsi" w:hAnsiTheme="minorHAnsi" w:cstheme="minorHAnsi"/>
          <w:szCs w:val="21"/>
        </w:rPr>
        <w:t xml:space="preserve"> 2018; </w:t>
      </w:r>
      <w:proofErr w:type="spellStart"/>
      <w:r w:rsidRPr="00136527">
        <w:rPr>
          <w:rFonts w:asciiTheme="minorHAnsi" w:hAnsiTheme="minorHAnsi" w:cstheme="minorHAnsi"/>
          <w:szCs w:val="21"/>
        </w:rPr>
        <w:t>Grigal</w:t>
      </w:r>
      <w:proofErr w:type="spellEnd"/>
      <w:r w:rsidR="00465F9D" w:rsidRPr="00136527">
        <w:rPr>
          <w:rFonts w:asciiTheme="minorHAnsi" w:hAnsiTheme="minorHAnsi" w:cstheme="minorHAnsi"/>
          <w:szCs w:val="21"/>
        </w:rPr>
        <w:t xml:space="preserve"> et al., </w:t>
      </w:r>
      <w:r w:rsidRPr="00136527">
        <w:rPr>
          <w:rFonts w:asciiTheme="minorHAnsi" w:hAnsiTheme="minorHAnsi" w:cstheme="minorHAnsi"/>
          <w:szCs w:val="21"/>
        </w:rPr>
        <w:t>2011).</w:t>
      </w:r>
    </w:p>
    <w:p w14:paraId="449930B8" w14:textId="2B823FE0" w:rsidR="00CD0575" w:rsidRPr="00136527" w:rsidRDefault="00CD0575" w:rsidP="00136527">
      <w:pPr>
        <w:pStyle w:val="ListParagraph"/>
        <w:numPr>
          <w:ilvl w:val="0"/>
          <w:numId w:val="27"/>
        </w:numPr>
        <w:spacing w:line="276" w:lineRule="auto"/>
        <w:contextualSpacing w:val="0"/>
        <w:rPr>
          <w:rFonts w:asciiTheme="minorHAnsi" w:hAnsiTheme="minorHAnsi" w:cstheme="minorHAnsi"/>
          <w:szCs w:val="21"/>
        </w:rPr>
      </w:pPr>
      <w:r w:rsidRPr="00136527">
        <w:rPr>
          <w:rFonts w:asciiTheme="minorHAnsi" w:hAnsiTheme="minorHAnsi" w:cstheme="minorHAnsi"/>
          <w:szCs w:val="21"/>
        </w:rPr>
        <w:t xml:space="preserve">Through inclusive academic coursework and continual opportunities for social involvement on campus, US college students with intellectual disability </w:t>
      </w:r>
      <w:r w:rsidRPr="00136527">
        <w:rPr>
          <w:rFonts w:asciiTheme="minorHAnsi" w:hAnsiTheme="minorHAnsi" w:cstheme="minorHAnsi"/>
          <w:b/>
          <w:bCs/>
          <w:szCs w:val="21"/>
        </w:rPr>
        <w:t>learn skills</w:t>
      </w:r>
      <w:r w:rsidRPr="00136527">
        <w:rPr>
          <w:rFonts w:asciiTheme="minorHAnsi" w:hAnsiTheme="minorHAnsi" w:cstheme="minorHAnsi"/>
          <w:szCs w:val="21"/>
        </w:rPr>
        <w:t xml:space="preserve"> needed for employment success as well as communication and self-advocacy skills (</w:t>
      </w:r>
      <w:proofErr w:type="spellStart"/>
      <w:r w:rsidRPr="00136527">
        <w:rPr>
          <w:rFonts w:asciiTheme="minorHAnsi" w:hAnsiTheme="minorHAnsi" w:cstheme="minorHAnsi"/>
          <w:szCs w:val="21"/>
        </w:rPr>
        <w:t>Wehman</w:t>
      </w:r>
      <w:proofErr w:type="spellEnd"/>
      <w:r w:rsidRPr="00136527">
        <w:rPr>
          <w:rFonts w:asciiTheme="minorHAnsi" w:hAnsiTheme="minorHAnsi" w:cstheme="minorHAnsi"/>
          <w:szCs w:val="21"/>
        </w:rPr>
        <w:t xml:space="preserve"> et al.</w:t>
      </w:r>
      <w:r w:rsidR="00630692" w:rsidRPr="00136527">
        <w:rPr>
          <w:rFonts w:asciiTheme="minorHAnsi" w:hAnsiTheme="minorHAnsi" w:cstheme="minorHAnsi"/>
          <w:szCs w:val="21"/>
        </w:rPr>
        <w:t>,</w:t>
      </w:r>
      <w:r w:rsidRPr="00136527">
        <w:rPr>
          <w:rFonts w:asciiTheme="minorHAnsi" w:hAnsiTheme="minorHAnsi" w:cstheme="minorHAnsi"/>
          <w:szCs w:val="21"/>
        </w:rPr>
        <w:t xml:space="preserve"> 2018; </w:t>
      </w:r>
      <w:proofErr w:type="spellStart"/>
      <w:r w:rsidRPr="00136527">
        <w:rPr>
          <w:rFonts w:asciiTheme="minorHAnsi" w:hAnsiTheme="minorHAnsi" w:cstheme="minorHAnsi"/>
          <w:szCs w:val="21"/>
        </w:rPr>
        <w:t>Rillotta</w:t>
      </w:r>
      <w:proofErr w:type="spellEnd"/>
      <w:r w:rsidRPr="00136527">
        <w:rPr>
          <w:rFonts w:asciiTheme="minorHAnsi" w:hAnsiTheme="minorHAnsi" w:cstheme="minorHAnsi"/>
          <w:szCs w:val="21"/>
        </w:rPr>
        <w:t xml:space="preserve"> et al.</w:t>
      </w:r>
      <w:r w:rsidR="001872FD" w:rsidRPr="00136527">
        <w:rPr>
          <w:rFonts w:asciiTheme="minorHAnsi" w:hAnsiTheme="minorHAnsi" w:cstheme="minorHAnsi"/>
          <w:szCs w:val="21"/>
        </w:rPr>
        <w:t>,</w:t>
      </w:r>
      <w:r w:rsidRPr="00136527">
        <w:rPr>
          <w:rFonts w:asciiTheme="minorHAnsi" w:hAnsiTheme="minorHAnsi" w:cstheme="minorHAnsi"/>
          <w:szCs w:val="21"/>
        </w:rPr>
        <w:t xml:space="preserve"> 2020).</w:t>
      </w:r>
    </w:p>
    <w:p w14:paraId="43EEE899" w14:textId="450EE743" w:rsidR="00CD0575" w:rsidRPr="00136527" w:rsidRDefault="00CD0575" w:rsidP="00136527">
      <w:pPr>
        <w:pStyle w:val="ListParagraph"/>
        <w:numPr>
          <w:ilvl w:val="0"/>
          <w:numId w:val="27"/>
        </w:numPr>
        <w:spacing w:line="276" w:lineRule="auto"/>
        <w:contextualSpacing w:val="0"/>
        <w:rPr>
          <w:rFonts w:asciiTheme="minorHAnsi" w:hAnsiTheme="minorHAnsi" w:cstheme="minorHAnsi"/>
          <w:szCs w:val="21"/>
        </w:rPr>
      </w:pPr>
      <w:r w:rsidRPr="00136527">
        <w:rPr>
          <w:rFonts w:asciiTheme="minorHAnsi" w:hAnsiTheme="minorHAnsi" w:cstheme="minorHAnsi"/>
          <w:bCs/>
          <w:szCs w:val="21"/>
        </w:rPr>
        <w:t xml:space="preserve">The </w:t>
      </w:r>
      <w:r w:rsidRPr="00136527">
        <w:rPr>
          <w:rFonts w:asciiTheme="minorHAnsi" w:hAnsiTheme="minorHAnsi" w:cstheme="minorHAnsi"/>
          <w:b/>
          <w:bCs/>
          <w:szCs w:val="21"/>
        </w:rPr>
        <w:t>building of social capital</w:t>
      </w:r>
      <w:r w:rsidRPr="00136527">
        <w:rPr>
          <w:rFonts w:asciiTheme="minorHAnsi" w:hAnsiTheme="minorHAnsi" w:cstheme="minorHAnsi"/>
          <w:szCs w:val="21"/>
        </w:rPr>
        <w:t xml:space="preserve"> occurs through involvement in co-curricular activities. Students with intellectual disability enrolled in US colleges experience college life alongside their peers, meet new people and form friendships (</w:t>
      </w:r>
      <w:proofErr w:type="spellStart"/>
      <w:r w:rsidRPr="00136527">
        <w:rPr>
          <w:rFonts w:asciiTheme="minorHAnsi" w:hAnsiTheme="minorHAnsi" w:cstheme="minorHAnsi"/>
          <w:szCs w:val="21"/>
        </w:rPr>
        <w:t>Uditsky</w:t>
      </w:r>
      <w:proofErr w:type="spellEnd"/>
      <w:r w:rsidRPr="00136527">
        <w:rPr>
          <w:rFonts w:asciiTheme="minorHAnsi" w:hAnsiTheme="minorHAnsi" w:cstheme="minorHAnsi"/>
          <w:szCs w:val="21"/>
        </w:rPr>
        <w:t xml:space="preserve"> </w:t>
      </w:r>
      <w:r w:rsidR="00D7437E" w:rsidRPr="00136527">
        <w:rPr>
          <w:rFonts w:asciiTheme="minorHAnsi" w:hAnsiTheme="minorHAnsi" w:cstheme="minorHAnsi"/>
          <w:szCs w:val="21"/>
        </w:rPr>
        <w:t>&amp;</w:t>
      </w:r>
      <w:r w:rsidRPr="00136527">
        <w:rPr>
          <w:rFonts w:asciiTheme="minorHAnsi" w:hAnsiTheme="minorHAnsi" w:cstheme="minorHAnsi"/>
          <w:szCs w:val="21"/>
        </w:rPr>
        <w:t xml:space="preserve"> Hughson, 2008; </w:t>
      </w:r>
      <w:proofErr w:type="spellStart"/>
      <w:r w:rsidRPr="00136527">
        <w:rPr>
          <w:rFonts w:asciiTheme="minorHAnsi" w:hAnsiTheme="minorHAnsi" w:cstheme="minorHAnsi"/>
          <w:szCs w:val="21"/>
        </w:rPr>
        <w:t>Rillotta</w:t>
      </w:r>
      <w:proofErr w:type="spellEnd"/>
      <w:r w:rsidRPr="00136527">
        <w:rPr>
          <w:rFonts w:asciiTheme="minorHAnsi" w:hAnsiTheme="minorHAnsi" w:cstheme="minorHAnsi"/>
          <w:szCs w:val="21"/>
        </w:rPr>
        <w:t xml:space="preserve"> et al.</w:t>
      </w:r>
      <w:r w:rsidR="001872FD" w:rsidRPr="00136527">
        <w:rPr>
          <w:rFonts w:asciiTheme="minorHAnsi" w:hAnsiTheme="minorHAnsi" w:cstheme="minorHAnsi"/>
          <w:szCs w:val="21"/>
        </w:rPr>
        <w:t>,</w:t>
      </w:r>
      <w:r w:rsidRPr="00136527">
        <w:rPr>
          <w:rFonts w:asciiTheme="minorHAnsi" w:hAnsiTheme="minorHAnsi" w:cstheme="minorHAnsi"/>
          <w:szCs w:val="21"/>
        </w:rPr>
        <w:t xml:space="preserve"> 2020).</w:t>
      </w:r>
    </w:p>
    <w:p w14:paraId="3F5E02AF" w14:textId="22F17488" w:rsidR="00CD0575" w:rsidRPr="00136527" w:rsidRDefault="00CD0575" w:rsidP="00136527">
      <w:pPr>
        <w:pStyle w:val="ListParagraph"/>
        <w:numPr>
          <w:ilvl w:val="0"/>
          <w:numId w:val="27"/>
        </w:numPr>
        <w:spacing w:line="276" w:lineRule="auto"/>
        <w:contextualSpacing w:val="0"/>
        <w:rPr>
          <w:rFonts w:asciiTheme="minorHAnsi" w:hAnsiTheme="minorHAnsi" w:cstheme="minorHAnsi"/>
          <w:szCs w:val="21"/>
        </w:rPr>
      </w:pPr>
      <w:r w:rsidRPr="00136527">
        <w:rPr>
          <w:rFonts w:asciiTheme="minorHAnsi" w:hAnsiTheme="minorHAnsi" w:cstheme="minorHAnsi"/>
          <w:szCs w:val="21"/>
        </w:rPr>
        <w:t xml:space="preserve">Those attending education while undertaking independent living learn and </w:t>
      </w:r>
      <w:proofErr w:type="spellStart"/>
      <w:r w:rsidRPr="00136527">
        <w:rPr>
          <w:rFonts w:asciiTheme="minorHAnsi" w:hAnsiTheme="minorHAnsi" w:cstheme="minorHAnsi"/>
          <w:szCs w:val="21"/>
        </w:rPr>
        <w:t>practise</w:t>
      </w:r>
      <w:proofErr w:type="spellEnd"/>
      <w:r w:rsidRPr="00136527">
        <w:rPr>
          <w:rFonts w:asciiTheme="minorHAnsi" w:hAnsiTheme="minorHAnsi" w:cstheme="minorHAnsi"/>
          <w:szCs w:val="21"/>
        </w:rPr>
        <w:t xml:space="preserve"> </w:t>
      </w:r>
      <w:r w:rsidRPr="00136527">
        <w:rPr>
          <w:rFonts w:asciiTheme="minorHAnsi" w:hAnsiTheme="minorHAnsi" w:cstheme="minorHAnsi"/>
          <w:b/>
          <w:bCs/>
          <w:szCs w:val="21"/>
        </w:rPr>
        <w:t>independent living skills</w:t>
      </w:r>
      <w:r w:rsidRPr="00136527">
        <w:rPr>
          <w:rFonts w:asciiTheme="minorHAnsi" w:hAnsiTheme="minorHAnsi" w:cstheme="minorHAnsi"/>
          <w:szCs w:val="21"/>
        </w:rPr>
        <w:t xml:space="preserve"> – e.g. cooking, cleaning, shopping, paying bills (Ryan</w:t>
      </w:r>
      <w:r w:rsidR="00600454" w:rsidRPr="00136527">
        <w:rPr>
          <w:rFonts w:asciiTheme="minorHAnsi" w:hAnsiTheme="minorHAnsi" w:cstheme="minorHAnsi"/>
          <w:szCs w:val="21"/>
        </w:rPr>
        <w:t xml:space="preserve"> et al.</w:t>
      </w:r>
      <w:r w:rsidRPr="00136527">
        <w:rPr>
          <w:rFonts w:asciiTheme="minorHAnsi" w:hAnsiTheme="minorHAnsi" w:cstheme="minorHAnsi"/>
          <w:szCs w:val="21"/>
        </w:rPr>
        <w:t>, 2019).</w:t>
      </w:r>
    </w:p>
    <w:p w14:paraId="1499C9E5" w14:textId="3F73B170" w:rsidR="00CD0575" w:rsidRPr="00136527" w:rsidRDefault="00CD0575" w:rsidP="00136527">
      <w:pPr>
        <w:pStyle w:val="ListParagraph"/>
        <w:numPr>
          <w:ilvl w:val="0"/>
          <w:numId w:val="28"/>
        </w:numPr>
        <w:spacing w:line="276" w:lineRule="auto"/>
        <w:contextualSpacing w:val="0"/>
        <w:rPr>
          <w:rFonts w:asciiTheme="minorHAnsi" w:hAnsiTheme="minorHAnsi" w:cstheme="minorHAnsi"/>
          <w:szCs w:val="21"/>
        </w:rPr>
      </w:pPr>
      <w:r w:rsidRPr="00136527">
        <w:rPr>
          <w:rFonts w:asciiTheme="minorHAnsi" w:hAnsiTheme="minorHAnsi" w:cstheme="minorHAnsi"/>
          <w:szCs w:val="21"/>
        </w:rPr>
        <w:t xml:space="preserve">University participation leads to </w:t>
      </w:r>
      <w:r w:rsidRPr="00136527">
        <w:rPr>
          <w:rFonts w:asciiTheme="minorHAnsi" w:hAnsiTheme="minorHAnsi" w:cstheme="minorHAnsi"/>
          <w:b/>
          <w:bCs/>
          <w:szCs w:val="21"/>
        </w:rPr>
        <w:t>positive academic outcomes and accomplishment of personally set goals</w:t>
      </w:r>
      <w:r w:rsidRPr="00136527">
        <w:rPr>
          <w:rFonts w:asciiTheme="minorHAnsi" w:hAnsiTheme="minorHAnsi" w:cstheme="minorHAnsi"/>
          <w:szCs w:val="21"/>
        </w:rPr>
        <w:t xml:space="preserve"> (</w:t>
      </w:r>
      <w:r w:rsidR="002645F5" w:rsidRPr="00136527">
        <w:rPr>
          <w:rFonts w:asciiTheme="minorHAnsi" w:hAnsiTheme="minorHAnsi" w:cstheme="minorHAnsi"/>
          <w:szCs w:val="21"/>
        </w:rPr>
        <w:t>Miller et al., 2019</w:t>
      </w:r>
      <w:r w:rsidRPr="00136527">
        <w:rPr>
          <w:rFonts w:asciiTheme="minorHAnsi" w:hAnsiTheme="minorHAnsi" w:cstheme="minorHAnsi"/>
          <w:szCs w:val="21"/>
        </w:rPr>
        <w:t xml:space="preserve">; </w:t>
      </w:r>
      <w:proofErr w:type="spellStart"/>
      <w:r w:rsidRPr="00136527">
        <w:rPr>
          <w:rFonts w:asciiTheme="minorHAnsi" w:hAnsiTheme="minorHAnsi" w:cstheme="minorHAnsi"/>
          <w:szCs w:val="21"/>
        </w:rPr>
        <w:t>Uditsky</w:t>
      </w:r>
      <w:proofErr w:type="spellEnd"/>
      <w:r w:rsidRPr="00136527">
        <w:rPr>
          <w:rFonts w:asciiTheme="minorHAnsi" w:hAnsiTheme="minorHAnsi" w:cstheme="minorHAnsi"/>
          <w:szCs w:val="21"/>
        </w:rPr>
        <w:t xml:space="preserve"> &amp; Hughson, 2012). </w:t>
      </w:r>
    </w:p>
    <w:p w14:paraId="6AE31341" w14:textId="182AE00A" w:rsidR="00CD0575" w:rsidRPr="00136527" w:rsidRDefault="00CD0575" w:rsidP="00136527">
      <w:pPr>
        <w:pStyle w:val="ListParagraph"/>
        <w:numPr>
          <w:ilvl w:val="0"/>
          <w:numId w:val="28"/>
        </w:numPr>
        <w:spacing w:line="276" w:lineRule="auto"/>
        <w:contextualSpacing w:val="0"/>
        <w:rPr>
          <w:rFonts w:asciiTheme="minorHAnsi" w:hAnsiTheme="minorHAnsi" w:cstheme="minorHAnsi"/>
          <w:szCs w:val="21"/>
        </w:rPr>
      </w:pPr>
      <w:r w:rsidRPr="00136527">
        <w:rPr>
          <w:rFonts w:asciiTheme="minorHAnsi" w:hAnsiTheme="minorHAnsi" w:cstheme="minorHAnsi"/>
          <w:szCs w:val="21"/>
        </w:rPr>
        <w:lastRenderedPageBreak/>
        <w:t xml:space="preserve">University participation enables the building of </w:t>
      </w:r>
      <w:proofErr w:type="spellStart"/>
      <w:r w:rsidRPr="00136527">
        <w:rPr>
          <w:rFonts w:asciiTheme="minorHAnsi" w:hAnsiTheme="minorHAnsi" w:cstheme="minorHAnsi"/>
          <w:b/>
          <w:bCs/>
          <w:szCs w:val="21"/>
        </w:rPr>
        <w:t>self esteem</w:t>
      </w:r>
      <w:proofErr w:type="spellEnd"/>
      <w:r w:rsidRPr="00136527">
        <w:rPr>
          <w:rFonts w:asciiTheme="minorHAnsi" w:hAnsiTheme="minorHAnsi" w:cstheme="minorHAnsi"/>
          <w:b/>
          <w:bCs/>
          <w:szCs w:val="21"/>
        </w:rPr>
        <w:t xml:space="preserve">, </w:t>
      </w:r>
      <w:proofErr w:type="spellStart"/>
      <w:r w:rsidRPr="00136527">
        <w:rPr>
          <w:rFonts w:asciiTheme="minorHAnsi" w:hAnsiTheme="minorHAnsi" w:cstheme="minorHAnsi"/>
          <w:b/>
          <w:bCs/>
          <w:szCs w:val="21"/>
        </w:rPr>
        <w:t xml:space="preserve">self </w:t>
      </w:r>
      <w:proofErr w:type="gramStart"/>
      <w:r w:rsidRPr="00136527">
        <w:rPr>
          <w:rFonts w:asciiTheme="minorHAnsi" w:hAnsiTheme="minorHAnsi" w:cstheme="minorHAnsi"/>
          <w:b/>
          <w:bCs/>
          <w:szCs w:val="21"/>
        </w:rPr>
        <w:t>confidence</w:t>
      </w:r>
      <w:proofErr w:type="spellEnd"/>
      <w:proofErr w:type="gramEnd"/>
      <w:r w:rsidRPr="00136527">
        <w:rPr>
          <w:rFonts w:asciiTheme="minorHAnsi" w:hAnsiTheme="minorHAnsi" w:cstheme="minorHAnsi"/>
          <w:b/>
          <w:bCs/>
          <w:szCs w:val="21"/>
        </w:rPr>
        <w:t xml:space="preserve"> and independence</w:t>
      </w:r>
      <w:r w:rsidRPr="00136527">
        <w:rPr>
          <w:rFonts w:asciiTheme="minorHAnsi" w:hAnsiTheme="minorHAnsi" w:cstheme="minorHAnsi"/>
          <w:szCs w:val="21"/>
        </w:rPr>
        <w:t xml:space="preserve"> in a context where young people with intellectual disability see themselves as similar to their peers without disability (</w:t>
      </w:r>
      <w:proofErr w:type="spellStart"/>
      <w:r w:rsidRPr="00136527">
        <w:rPr>
          <w:rFonts w:asciiTheme="minorHAnsi" w:hAnsiTheme="minorHAnsi" w:cstheme="minorHAnsi"/>
          <w:szCs w:val="21"/>
        </w:rPr>
        <w:t>Rillotta</w:t>
      </w:r>
      <w:proofErr w:type="spellEnd"/>
      <w:r w:rsidRPr="00136527">
        <w:rPr>
          <w:rFonts w:asciiTheme="minorHAnsi" w:hAnsiTheme="minorHAnsi" w:cstheme="minorHAnsi"/>
          <w:szCs w:val="21"/>
        </w:rPr>
        <w:t xml:space="preserve"> et al.</w:t>
      </w:r>
      <w:r w:rsidR="001872FD" w:rsidRPr="00136527">
        <w:rPr>
          <w:rFonts w:asciiTheme="minorHAnsi" w:hAnsiTheme="minorHAnsi" w:cstheme="minorHAnsi"/>
          <w:szCs w:val="21"/>
        </w:rPr>
        <w:t>,</w:t>
      </w:r>
      <w:r w:rsidRPr="00136527">
        <w:rPr>
          <w:rFonts w:asciiTheme="minorHAnsi" w:hAnsiTheme="minorHAnsi" w:cstheme="minorHAnsi"/>
          <w:szCs w:val="21"/>
        </w:rPr>
        <w:t xml:space="preserve"> 2020).</w:t>
      </w:r>
    </w:p>
    <w:p w14:paraId="2466A63E" w14:textId="77777777" w:rsidR="00CD0575" w:rsidRPr="00136527" w:rsidRDefault="00CD0575" w:rsidP="00136527">
      <w:pPr>
        <w:rPr>
          <w:rFonts w:asciiTheme="minorHAnsi" w:hAnsiTheme="minorHAnsi" w:cstheme="minorHAnsi"/>
          <w:szCs w:val="21"/>
        </w:rPr>
      </w:pPr>
    </w:p>
    <w:p w14:paraId="1104554B" w14:textId="002279CA" w:rsidR="00CD0575" w:rsidRPr="00054CD3" w:rsidRDefault="00CD0575" w:rsidP="00CE427B">
      <w:pPr>
        <w:pStyle w:val="Heading2"/>
        <w:rPr>
          <w:rFonts w:eastAsiaTheme="majorEastAsia"/>
        </w:rPr>
      </w:pPr>
      <w:bookmarkStart w:id="91" w:name="_Toc49417921"/>
      <w:r>
        <w:rPr>
          <w:rFonts w:eastAsiaTheme="majorEastAsia"/>
        </w:rPr>
        <w:t xml:space="preserve">Ingredients of success: </w:t>
      </w:r>
      <w:r w:rsidR="00E9448D">
        <w:rPr>
          <w:rFonts w:eastAsiaTheme="majorEastAsia"/>
        </w:rPr>
        <w:t>U</w:t>
      </w:r>
      <w:r>
        <w:rPr>
          <w:rFonts w:eastAsiaTheme="majorEastAsia"/>
        </w:rPr>
        <w:t>niversity education for people with intellectual disability</w:t>
      </w:r>
      <w:bookmarkEnd w:id="91"/>
    </w:p>
    <w:p w14:paraId="6E48DDA2" w14:textId="50D9FBDB" w:rsidR="00CD0575" w:rsidRPr="00136527" w:rsidRDefault="00CD0575" w:rsidP="00136527">
      <w:pPr>
        <w:spacing w:line="276" w:lineRule="auto"/>
        <w:rPr>
          <w:rFonts w:asciiTheme="minorHAnsi" w:hAnsiTheme="minorHAnsi" w:cstheme="minorHAnsi"/>
          <w:szCs w:val="21"/>
        </w:rPr>
      </w:pPr>
      <w:r w:rsidRPr="00136527">
        <w:rPr>
          <w:rFonts w:asciiTheme="minorHAnsi" w:hAnsiTheme="minorHAnsi" w:cstheme="minorHAnsi"/>
          <w:szCs w:val="21"/>
        </w:rPr>
        <w:t xml:space="preserve">Around the world, there is an increase in targeted post-secondary education programs that have been specifically designed to foster inclusion of people with disability in university education. These programs have been designed to allow young adults with disabilities to gain </w:t>
      </w:r>
      <w:r w:rsidR="00E9448D" w:rsidRPr="00136527">
        <w:rPr>
          <w:rFonts w:asciiTheme="minorHAnsi" w:hAnsiTheme="minorHAnsi" w:cstheme="minorHAnsi"/>
          <w:szCs w:val="21"/>
        </w:rPr>
        <w:t>“</w:t>
      </w:r>
      <w:r w:rsidRPr="00136527">
        <w:rPr>
          <w:rFonts w:asciiTheme="minorHAnsi" w:hAnsiTheme="minorHAnsi" w:cstheme="minorHAnsi"/>
          <w:szCs w:val="21"/>
        </w:rPr>
        <w:t>academic, social, employment, self‐determination and independent living skills</w:t>
      </w:r>
      <w:r w:rsidR="00E9448D" w:rsidRPr="00136527">
        <w:rPr>
          <w:rFonts w:asciiTheme="minorHAnsi" w:hAnsiTheme="minorHAnsi" w:cstheme="minorHAnsi"/>
          <w:szCs w:val="21"/>
        </w:rPr>
        <w:t>”</w:t>
      </w:r>
      <w:r w:rsidRPr="00136527">
        <w:rPr>
          <w:rFonts w:asciiTheme="minorHAnsi" w:hAnsiTheme="minorHAnsi" w:cstheme="minorHAnsi"/>
          <w:szCs w:val="21"/>
        </w:rPr>
        <w:t xml:space="preserve"> (Francis et al.</w:t>
      </w:r>
      <w:r w:rsidR="005C12C8" w:rsidRPr="00136527">
        <w:rPr>
          <w:rFonts w:asciiTheme="minorHAnsi" w:hAnsiTheme="minorHAnsi" w:cstheme="minorHAnsi"/>
          <w:szCs w:val="21"/>
        </w:rPr>
        <w:t>,</w:t>
      </w:r>
      <w:r w:rsidRPr="00136527">
        <w:rPr>
          <w:rFonts w:asciiTheme="minorHAnsi" w:hAnsiTheme="minorHAnsi" w:cstheme="minorHAnsi"/>
          <w:szCs w:val="21"/>
        </w:rPr>
        <w:t xml:space="preserve"> 2018, p.</w:t>
      </w:r>
      <w:r w:rsidR="005C12C8" w:rsidRPr="00136527">
        <w:rPr>
          <w:rFonts w:asciiTheme="minorHAnsi" w:hAnsiTheme="minorHAnsi" w:cstheme="minorHAnsi"/>
          <w:szCs w:val="21"/>
        </w:rPr>
        <w:t xml:space="preserve"> </w:t>
      </w:r>
      <w:r w:rsidRPr="00136527">
        <w:rPr>
          <w:rFonts w:asciiTheme="minorHAnsi" w:hAnsiTheme="minorHAnsi" w:cstheme="minorHAnsi"/>
          <w:szCs w:val="21"/>
        </w:rPr>
        <w:t>278).</w:t>
      </w:r>
    </w:p>
    <w:p w14:paraId="7C6B8350" w14:textId="2D5CF4B5" w:rsidR="00CD0575" w:rsidRPr="00136527" w:rsidRDefault="00CD0575" w:rsidP="00136527">
      <w:pPr>
        <w:spacing w:line="276" w:lineRule="auto"/>
        <w:rPr>
          <w:rFonts w:asciiTheme="minorHAnsi" w:hAnsiTheme="minorHAnsi" w:cstheme="minorHAnsi"/>
          <w:szCs w:val="21"/>
        </w:rPr>
      </w:pPr>
      <w:r w:rsidRPr="00136527">
        <w:rPr>
          <w:rFonts w:asciiTheme="minorHAnsi" w:hAnsiTheme="minorHAnsi" w:cstheme="minorHAnsi"/>
          <w:szCs w:val="21"/>
        </w:rPr>
        <w:t>As outlined above, research has evidenced positive outcomes of these programs targeting people with disability including increased employment and independent living skills (Francis et al.</w:t>
      </w:r>
      <w:r w:rsidR="005C12C8" w:rsidRPr="00136527">
        <w:rPr>
          <w:rFonts w:asciiTheme="minorHAnsi" w:hAnsiTheme="minorHAnsi" w:cstheme="minorHAnsi"/>
          <w:szCs w:val="21"/>
        </w:rPr>
        <w:t>,</w:t>
      </w:r>
      <w:r w:rsidRPr="00136527">
        <w:rPr>
          <w:rFonts w:asciiTheme="minorHAnsi" w:hAnsiTheme="minorHAnsi" w:cstheme="minorHAnsi"/>
          <w:szCs w:val="21"/>
        </w:rPr>
        <w:t xml:space="preserve"> 2018). Research has also identified some of the key components of these programs for people with intellectual disabilities. Without these components, students’ experiences can be less positive, especially where they have inadequate support, are subject to low expectations, and experience non-inclusive practices on campus (</w:t>
      </w:r>
      <w:proofErr w:type="spellStart"/>
      <w:r w:rsidRPr="00136527">
        <w:rPr>
          <w:rFonts w:asciiTheme="minorHAnsi" w:hAnsiTheme="minorHAnsi" w:cstheme="minorHAnsi"/>
          <w:szCs w:val="21"/>
        </w:rPr>
        <w:t>Rillotta</w:t>
      </w:r>
      <w:proofErr w:type="spellEnd"/>
      <w:r w:rsidRPr="00136527">
        <w:rPr>
          <w:rFonts w:asciiTheme="minorHAnsi" w:hAnsiTheme="minorHAnsi" w:cstheme="minorHAnsi"/>
          <w:szCs w:val="21"/>
        </w:rPr>
        <w:t xml:space="preserve"> et al., 2020).</w:t>
      </w:r>
    </w:p>
    <w:p w14:paraId="439990D1" w14:textId="77777777" w:rsidR="00CD0575" w:rsidRPr="00136527" w:rsidRDefault="00CD0575" w:rsidP="00136527">
      <w:pPr>
        <w:spacing w:line="276" w:lineRule="auto"/>
        <w:rPr>
          <w:rFonts w:asciiTheme="minorHAnsi" w:hAnsiTheme="minorHAnsi" w:cstheme="minorHAnsi"/>
          <w:szCs w:val="21"/>
        </w:rPr>
      </w:pPr>
      <w:r w:rsidRPr="00136527">
        <w:rPr>
          <w:rFonts w:asciiTheme="minorHAnsi" w:hAnsiTheme="minorHAnsi" w:cstheme="minorHAnsi"/>
          <w:szCs w:val="21"/>
        </w:rPr>
        <w:t xml:space="preserve">According to a study by </w:t>
      </w:r>
      <w:proofErr w:type="spellStart"/>
      <w:r w:rsidRPr="00136527">
        <w:rPr>
          <w:rFonts w:asciiTheme="minorHAnsi" w:hAnsiTheme="minorHAnsi" w:cstheme="minorHAnsi"/>
          <w:szCs w:val="21"/>
        </w:rPr>
        <w:t>Uditsky</w:t>
      </w:r>
      <w:proofErr w:type="spellEnd"/>
      <w:r w:rsidRPr="00136527">
        <w:rPr>
          <w:rFonts w:asciiTheme="minorHAnsi" w:hAnsiTheme="minorHAnsi" w:cstheme="minorHAnsi"/>
          <w:szCs w:val="21"/>
        </w:rPr>
        <w:t xml:space="preserve"> and Hughson (2012), authentic student experience unfolds in at least ﬁve contexts that weave together to encourage belonging, learning, identity, and contribution:</w:t>
      </w:r>
    </w:p>
    <w:p w14:paraId="75558C65" w14:textId="77E883C6" w:rsidR="00CD0575" w:rsidRPr="00136527" w:rsidRDefault="00CD0575" w:rsidP="00136527">
      <w:pPr>
        <w:spacing w:line="276" w:lineRule="auto"/>
        <w:ind w:left="900" w:hanging="333"/>
        <w:rPr>
          <w:rFonts w:asciiTheme="minorHAnsi" w:hAnsiTheme="minorHAnsi" w:cstheme="minorHAnsi"/>
          <w:szCs w:val="21"/>
        </w:rPr>
      </w:pPr>
      <w:r w:rsidRPr="00136527">
        <w:rPr>
          <w:rFonts w:asciiTheme="minorHAnsi" w:hAnsiTheme="minorHAnsi" w:cstheme="minorHAnsi"/>
          <w:szCs w:val="21"/>
        </w:rPr>
        <w:t xml:space="preserve">1. </w:t>
      </w:r>
      <w:r w:rsidRPr="00136527">
        <w:rPr>
          <w:rFonts w:asciiTheme="minorHAnsi" w:hAnsiTheme="minorHAnsi" w:cstheme="minorHAnsi"/>
          <w:szCs w:val="21"/>
        </w:rPr>
        <w:tab/>
      </w:r>
      <w:r w:rsidR="00DB03B4" w:rsidRPr="00136527">
        <w:rPr>
          <w:rFonts w:asciiTheme="minorHAnsi" w:hAnsiTheme="minorHAnsi" w:cstheme="minorHAnsi"/>
          <w:szCs w:val="21"/>
        </w:rPr>
        <w:t>“</w:t>
      </w:r>
      <w:r w:rsidRPr="00136527">
        <w:rPr>
          <w:rFonts w:asciiTheme="minorHAnsi" w:hAnsiTheme="minorHAnsi" w:cstheme="minorHAnsi"/>
          <w:szCs w:val="21"/>
        </w:rPr>
        <w:t xml:space="preserve">Academic: Students pursue a coherent program of study in course-related activities that develop their capacities. </w:t>
      </w:r>
    </w:p>
    <w:p w14:paraId="6DF8032A" w14:textId="77777777" w:rsidR="00CD0575" w:rsidRPr="00136527" w:rsidRDefault="00CD0575" w:rsidP="00136527">
      <w:pPr>
        <w:spacing w:line="276" w:lineRule="auto"/>
        <w:ind w:left="900" w:hanging="333"/>
        <w:rPr>
          <w:rFonts w:asciiTheme="minorHAnsi" w:hAnsiTheme="minorHAnsi" w:cstheme="minorHAnsi"/>
          <w:szCs w:val="21"/>
        </w:rPr>
      </w:pPr>
      <w:r w:rsidRPr="00136527">
        <w:rPr>
          <w:rFonts w:asciiTheme="minorHAnsi" w:hAnsiTheme="minorHAnsi" w:cstheme="minorHAnsi"/>
          <w:szCs w:val="21"/>
        </w:rPr>
        <w:t xml:space="preserve">2. </w:t>
      </w:r>
      <w:r w:rsidRPr="00136527">
        <w:rPr>
          <w:rFonts w:asciiTheme="minorHAnsi" w:hAnsiTheme="minorHAnsi" w:cstheme="minorHAnsi"/>
          <w:szCs w:val="21"/>
        </w:rPr>
        <w:tab/>
        <w:t xml:space="preserve">Social: Students make friends, connect with social networks, and pursue a social life in company with fellow students. </w:t>
      </w:r>
    </w:p>
    <w:p w14:paraId="5E9E417D" w14:textId="624DED8B" w:rsidR="00CD0575" w:rsidRPr="00136527" w:rsidRDefault="00CD0575" w:rsidP="00136527">
      <w:pPr>
        <w:spacing w:line="276" w:lineRule="auto"/>
        <w:ind w:left="900" w:hanging="333"/>
        <w:rPr>
          <w:rFonts w:asciiTheme="minorHAnsi" w:hAnsiTheme="minorHAnsi" w:cstheme="minorHAnsi"/>
          <w:szCs w:val="21"/>
        </w:rPr>
      </w:pPr>
      <w:r w:rsidRPr="00136527">
        <w:rPr>
          <w:rFonts w:asciiTheme="minorHAnsi" w:hAnsiTheme="minorHAnsi" w:cstheme="minorHAnsi"/>
          <w:szCs w:val="21"/>
        </w:rPr>
        <w:t xml:space="preserve">3. </w:t>
      </w:r>
      <w:r w:rsidRPr="00136527">
        <w:rPr>
          <w:rFonts w:asciiTheme="minorHAnsi" w:hAnsiTheme="minorHAnsi" w:cstheme="minorHAnsi"/>
          <w:szCs w:val="21"/>
        </w:rPr>
        <w:tab/>
        <w:t xml:space="preserve">Associational: Students join and participate in </w:t>
      </w:r>
      <w:proofErr w:type="spellStart"/>
      <w:r w:rsidRPr="00136527">
        <w:rPr>
          <w:rFonts w:asciiTheme="minorHAnsi" w:hAnsiTheme="minorHAnsi" w:cstheme="minorHAnsi"/>
          <w:szCs w:val="21"/>
        </w:rPr>
        <w:t>organi</w:t>
      </w:r>
      <w:r w:rsidR="00C205E1" w:rsidRPr="00136527">
        <w:rPr>
          <w:rFonts w:asciiTheme="minorHAnsi" w:hAnsiTheme="minorHAnsi" w:cstheme="minorHAnsi"/>
          <w:szCs w:val="21"/>
        </w:rPr>
        <w:t>s</w:t>
      </w:r>
      <w:r w:rsidRPr="00136527">
        <w:rPr>
          <w:rFonts w:asciiTheme="minorHAnsi" w:hAnsiTheme="minorHAnsi" w:cstheme="minorHAnsi"/>
          <w:szCs w:val="21"/>
        </w:rPr>
        <w:t>ations</w:t>
      </w:r>
      <w:proofErr w:type="spellEnd"/>
      <w:r w:rsidRPr="00136527">
        <w:rPr>
          <w:rFonts w:asciiTheme="minorHAnsi" w:hAnsiTheme="minorHAnsi" w:cstheme="minorHAnsi"/>
          <w:szCs w:val="21"/>
        </w:rPr>
        <w:t xml:space="preserve"> that reﬂect their interests and concerns.</w:t>
      </w:r>
    </w:p>
    <w:p w14:paraId="78435384" w14:textId="77777777" w:rsidR="00CD0575" w:rsidRPr="00136527" w:rsidRDefault="00CD0575" w:rsidP="00136527">
      <w:pPr>
        <w:spacing w:line="276" w:lineRule="auto"/>
        <w:ind w:left="900" w:hanging="333"/>
        <w:rPr>
          <w:rFonts w:asciiTheme="minorHAnsi" w:hAnsiTheme="minorHAnsi" w:cstheme="minorHAnsi"/>
          <w:szCs w:val="21"/>
        </w:rPr>
      </w:pPr>
      <w:r w:rsidRPr="00136527">
        <w:rPr>
          <w:rFonts w:asciiTheme="minorHAnsi" w:hAnsiTheme="minorHAnsi" w:cstheme="minorHAnsi"/>
          <w:szCs w:val="21"/>
        </w:rPr>
        <w:t xml:space="preserve">4. </w:t>
      </w:r>
      <w:r w:rsidRPr="00136527">
        <w:rPr>
          <w:rFonts w:asciiTheme="minorHAnsi" w:hAnsiTheme="minorHAnsi" w:cstheme="minorHAnsi"/>
          <w:szCs w:val="21"/>
        </w:rPr>
        <w:tab/>
        <w:t xml:space="preserve">Employment: Students explore their options for work through internships, career guidance, and part-time and summer jobs. </w:t>
      </w:r>
    </w:p>
    <w:p w14:paraId="49E7D980" w14:textId="14D69DF5" w:rsidR="00CD0575" w:rsidRPr="00136527" w:rsidRDefault="00CD0575" w:rsidP="00136527">
      <w:pPr>
        <w:spacing w:line="276" w:lineRule="auto"/>
        <w:ind w:left="900" w:hanging="333"/>
        <w:rPr>
          <w:rFonts w:asciiTheme="minorHAnsi" w:hAnsiTheme="minorHAnsi" w:cstheme="minorHAnsi"/>
          <w:szCs w:val="21"/>
        </w:rPr>
      </w:pPr>
      <w:r w:rsidRPr="00136527">
        <w:rPr>
          <w:rFonts w:asciiTheme="minorHAnsi" w:hAnsiTheme="minorHAnsi" w:cstheme="minorHAnsi"/>
          <w:szCs w:val="21"/>
        </w:rPr>
        <w:t xml:space="preserve">5. </w:t>
      </w:r>
      <w:r w:rsidRPr="00136527">
        <w:rPr>
          <w:rFonts w:asciiTheme="minorHAnsi" w:hAnsiTheme="minorHAnsi" w:cstheme="minorHAnsi"/>
          <w:szCs w:val="21"/>
        </w:rPr>
        <w:tab/>
        <w:t xml:space="preserve">Family: Students assume a new place in their families as their competence, conﬁdence, and autonomy </w:t>
      </w:r>
      <w:proofErr w:type="gramStart"/>
      <w:r w:rsidRPr="00136527">
        <w:rPr>
          <w:rFonts w:asciiTheme="minorHAnsi" w:hAnsiTheme="minorHAnsi" w:cstheme="minorHAnsi"/>
          <w:szCs w:val="21"/>
        </w:rPr>
        <w:t>grow</w:t>
      </w:r>
      <w:proofErr w:type="gramEnd"/>
      <w:r w:rsidRPr="00136527">
        <w:rPr>
          <w:rFonts w:asciiTheme="minorHAnsi" w:hAnsiTheme="minorHAnsi" w:cstheme="minorHAnsi"/>
          <w:szCs w:val="21"/>
        </w:rPr>
        <w:t xml:space="preserve"> and new possibilities emerge</w:t>
      </w:r>
      <w:r w:rsidR="00DB03B4" w:rsidRPr="00136527">
        <w:rPr>
          <w:rFonts w:asciiTheme="minorHAnsi" w:hAnsiTheme="minorHAnsi" w:cstheme="minorHAnsi"/>
          <w:szCs w:val="21"/>
        </w:rPr>
        <w:t>”</w:t>
      </w:r>
      <w:r w:rsidRPr="00136527">
        <w:rPr>
          <w:rFonts w:asciiTheme="minorHAnsi" w:hAnsiTheme="minorHAnsi" w:cstheme="minorHAnsi"/>
          <w:szCs w:val="21"/>
        </w:rPr>
        <w:t xml:space="preserve"> (p</w:t>
      </w:r>
      <w:r w:rsidR="00DB03B4" w:rsidRPr="00136527">
        <w:rPr>
          <w:rFonts w:asciiTheme="minorHAnsi" w:hAnsiTheme="minorHAnsi" w:cstheme="minorHAnsi"/>
          <w:szCs w:val="21"/>
        </w:rPr>
        <w:t>p</w:t>
      </w:r>
      <w:r w:rsidRPr="00136527">
        <w:rPr>
          <w:rFonts w:asciiTheme="minorHAnsi" w:hAnsiTheme="minorHAnsi" w:cstheme="minorHAnsi"/>
          <w:szCs w:val="21"/>
        </w:rPr>
        <w:t>.</w:t>
      </w:r>
      <w:r w:rsidR="00DB03B4" w:rsidRPr="00136527">
        <w:rPr>
          <w:rFonts w:asciiTheme="minorHAnsi" w:hAnsiTheme="minorHAnsi" w:cstheme="minorHAnsi"/>
          <w:szCs w:val="21"/>
        </w:rPr>
        <w:t xml:space="preserve"> </w:t>
      </w:r>
      <w:r w:rsidRPr="00136527">
        <w:rPr>
          <w:rFonts w:asciiTheme="minorHAnsi" w:hAnsiTheme="minorHAnsi" w:cstheme="minorHAnsi"/>
          <w:szCs w:val="21"/>
        </w:rPr>
        <w:t>299-300).</w:t>
      </w:r>
    </w:p>
    <w:p w14:paraId="5E8FE8BA" w14:textId="5933B0A3" w:rsidR="00CD0575" w:rsidRPr="00136527" w:rsidRDefault="00CD0575" w:rsidP="00136527">
      <w:pPr>
        <w:spacing w:line="276" w:lineRule="auto"/>
        <w:rPr>
          <w:rFonts w:asciiTheme="minorHAnsi" w:hAnsiTheme="minorHAnsi" w:cstheme="minorHAnsi"/>
          <w:szCs w:val="21"/>
        </w:rPr>
      </w:pPr>
      <w:r w:rsidRPr="00136527">
        <w:rPr>
          <w:rFonts w:asciiTheme="minorHAnsi" w:hAnsiTheme="minorHAnsi" w:cstheme="minorHAnsi"/>
          <w:szCs w:val="21"/>
        </w:rPr>
        <w:t xml:space="preserve">There must be conscious, systematic, creative, collaborative efforts to </w:t>
      </w:r>
      <w:proofErr w:type="spellStart"/>
      <w:r w:rsidRPr="00136527">
        <w:rPr>
          <w:rFonts w:asciiTheme="minorHAnsi" w:hAnsiTheme="minorHAnsi" w:cstheme="minorHAnsi"/>
          <w:szCs w:val="21"/>
        </w:rPr>
        <w:t>minimi</w:t>
      </w:r>
      <w:r w:rsidR="00C205E1" w:rsidRPr="00136527">
        <w:rPr>
          <w:rFonts w:asciiTheme="minorHAnsi" w:hAnsiTheme="minorHAnsi" w:cstheme="minorHAnsi"/>
          <w:szCs w:val="21"/>
        </w:rPr>
        <w:t>s</w:t>
      </w:r>
      <w:r w:rsidRPr="00136527">
        <w:rPr>
          <w:rFonts w:asciiTheme="minorHAnsi" w:hAnsiTheme="minorHAnsi" w:cstheme="minorHAnsi"/>
          <w:szCs w:val="21"/>
        </w:rPr>
        <w:t>e</w:t>
      </w:r>
      <w:proofErr w:type="spellEnd"/>
      <w:r w:rsidRPr="00136527">
        <w:rPr>
          <w:rFonts w:asciiTheme="minorHAnsi" w:hAnsiTheme="minorHAnsi" w:cstheme="minorHAnsi"/>
          <w:szCs w:val="21"/>
        </w:rPr>
        <w:t xml:space="preserve"> the differences that can pull students away from these typical and valued pathways (O’Brien</w:t>
      </w:r>
      <w:r w:rsidR="003F7211">
        <w:rPr>
          <w:rFonts w:asciiTheme="minorHAnsi" w:hAnsiTheme="minorHAnsi" w:cstheme="minorHAnsi"/>
          <w:szCs w:val="21"/>
        </w:rPr>
        <w:t xml:space="preserve"> et al., </w:t>
      </w:r>
      <w:r w:rsidRPr="00136527">
        <w:rPr>
          <w:rFonts w:asciiTheme="minorHAnsi" w:hAnsiTheme="minorHAnsi" w:cstheme="minorHAnsi"/>
          <w:szCs w:val="21"/>
        </w:rPr>
        <w:t xml:space="preserve">2009; </w:t>
      </w:r>
      <w:proofErr w:type="spellStart"/>
      <w:r w:rsidRPr="00136527">
        <w:rPr>
          <w:rFonts w:asciiTheme="minorHAnsi" w:hAnsiTheme="minorHAnsi" w:cstheme="minorHAnsi"/>
          <w:szCs w:val="21"/>
        </w:rPr>
        <w:t>Uditsky</w:t>
      </w:r>
      <w:proofErr w:type="spellEnd"/>
      <w:r w:rsidRPr="00136527">
        <w:rPr>
          <w:rFonts w:asciiTheme="minorHAnsi" w:hAnsiTheme="minorHAnsi" w:cstheme="minorHAnsi"/>
          <w:szCs w:val="21"/>
        </w:rPr>
        <w:t xml:space="preserve"> </w:t>
      </w:r>
      <w:r w:rsidR="00543EBD" w:rsidRPr="00136527">
        <w:rPr>
          <w:rFonts w:asciiTheme="minorHAnsi" w:hAnsiTheme="minorHAnsi" w:cstheme="minorHAnsi"/>
          <w:szCs w:val="21"/>
        </w:rPr>
        <w:t>&amp;</w:t>
      </w:r>
      <w:r w:rsidRPr="00136527">
        <w:rPr>
          <w:rFonts w:asciiTheme="minorHAnsi" w:hAnsiTheme="minorHAnsi" w:cstheme="minorHAnsi"/>
          <w:szCs w:val="21"/>
        </w:rPr>
        <w:t xml:space="preserve"> Hughson, 2008).</w:t>
      </w:r>
    </w:p>
    <w:p w14:paraId="51E0109E" w14:textId="77777777" w:rsidR="00CD0575" w:rsidRPr="00136527" w:rsidRDefault="00CD0575" w:rsidP="00136527">
      <w:pPr>
        <w:spacing w:line="276" w:lineRule="auto"/>
        <w:rPr>
          <w:rFonts w:asciiTheme="minorHAnsi" w:hAnsiTheme="minorHAnsi" w:cstheme="minorHAnsi"/>
          <w:szCs w:val="21"/>
        </w:rPr>
      </w:pPr>
      <w:r w:rsidRPr="00136527">
        <w:rPr>
          <w:rFonts w:asciiTheme="minorHAnsi" w:hAnsiTheme="minorHAnsi" w:cstheme="minorHAnsi"/>
          <w:szCs w:val="21"/>
        </w:rPr>
        <w:t>Further key components of university/college programs identified as important for the experience of young people with disability include:</w:t>
      </w:r>
    </w:p>
    <w:p w14:paraId="1BEA7091" w14:textId="7FBE5887" w:rsidR="00CD0575" w:rsidRPr="00136527" w:rsidRDefault="00CD0575" w:rsidP="00136527">
      <w:pPr>
        <w:pStyle w:val="ListParagraph"/>
        <w:numPr>
          <w:ilvl w:val="0"/>
          <w:numId w:val="29"/>
        </w:numPr>
        <w:spacing w:line="276" w:lineRule="auto"/>
        <w:ind w:left="714" w:hanging="357"/>
        <w:contextualSpacing w:val="0"/>
        <w:rPr>
          <w:rFonts w:asciiTheme="minorHAnsi" w:hAnsiTheme="minorHAnsi" w:cstheme="minorHAnsi"/>
          <w:szCs w:val="21"/>
        </w:rPr>
      </w:pPr>
      <w:r w:rsidRPr="00136527">
        <w:rPr>
          <w:rFonts w:asciiTheme="minorHAnsi" w:hAnsiTheme="minorHAnsi" w:cstheme="minorHAnsi"/>
          <w:szCs w:val="21"/>
        </w:rPr>
        <w:t>Provision of extra instruction, academic support and coaching (</w:t>
      </w:r>
      <w:proofErr w:type="spellStart"/>
      <w:r w:rsidRPr="00136527">
        <w:rPr>
          <w:rFonts w:asciiTheme="minorHAnsi" w:hAnsiTheme="minorHAnsi" w:cstheme="minorHAnsi"/>
          <w:szCs w:val="21"/>
        </w:rPr>
        <w:t>Grigal</w:t>
      </w:r>
      <w:proofErr w:type="spellEnd"/>
      <w:r w:rsidRPr="00136527">
        <w:rPr>
          <w:rFonts w:asciiTheme="minorHAnsi" w:hAnsiTheme="minorHAnsi" w:cstheme="minorHAnsi"/>
          <w:szCs w:val="21"/>
        </w:rPr>
        <w:t xml:space="preserve"> et al.</w:t>
      </w:r>
      <w:r w:rsidR="00465F9D" w:rsidRPr="00136527">
        <w:rPr>
          <w:rFonts w:asciiTheme="minorHAnsi" w:hAnsiTheme="minorHAnsi" w:cstheme="minorHAnsi"/>
          <w:szCs w:val="21"/>
        </w:rPr>
        <w:t>,</w:t>
      </w:r>
      <w:r w:rsidRPr="00136527">
        <w:rPr>
          <w:rFonts w:asciiTheme="minorHAnsi" w:hAnsiTheme="minorHAnsi" w:cstheme="minorHAnsi"/>
          <w:szCs w:val="21"/>
        </w:rPr>
        <w:t xml:space="preserve"> 2012; Moore &amp; Schelling</w:t>
      </w:r>
      <w:r w:rsidR="007C70F8" w:rsidRPr="00136527">
        <w:rPr>
          <w:rFonts w:asciiTheme="minorHAnsi" w:hAnsiTheme="minorHAnsi" w:cstheme="minorHAnsi"/>
          <w:szCs w:val="21"/>
        </w:rPr>
        <w:t>,</w:t>
      </w:r>
      <w:r w:rsidRPr="00136527">
        <w:rPr>
          <w:rFonts w:asciiTheme="minorHAnsi" w:hAnsiTheme="minorHAnsi" w:cstheme="minorHAnsi"/>
          <w:szCs w:val="21"/>
        </w:rPr>
        <w:t xml:space="preserve"> 2015; </w:t>
      </w:r>
      <w:proofErr w:type="spellStart"/>
      <w:r w:rsidRPr="00136527">
        <w:rPr>
          <w:rFonts w:asciiTheme="minorHAnsi" w:hAnsiTheme="minorHAnsi" w:cstheme="minorHAnsi"/>
          <w:szCs w:val="21"/>
        </w:rPr>
        <w:t>Thoma</w:t>
      </w:r>
      <w:proofErr w:type="spellEnd"/>
      <w:r w:rsidRPr="00136527">
        <w:rPr>
          <w:rFonts w:asciiTheme="minorHAnsi" w:hAnsiTheme="minorHAnsi" w:cstheme="minorHAnsi"/>
          <w:szCs w:val="21"/>
        </w:rPr>
        <w:t xml:space="preserve"> et al. 2011; </w:t>
      </w:r>
      <w:bookmarkStart w:id="92" w:name="_Hlk40711857"/>
      <w:r w:rsidRPr="00136527">
        <w:rPr>
          <w:rFonts w:asciiTheme="minorHAnsi" w:hAnsiTheme="minorHAnsi" w:cstheme="minorHAnsi"/>
          <w:szCs w:val="21"/>
        </w:rPr>
        <w:t>Ryan</w:t>
      </w:r>
      <w:r w:rsidR="00600454" w:rsidRPr="00136527">
        <w:rPr>
          <w:rFonts w:asciiTheme="minorHAnsi" w:hAnsiTheme="minorHAnsi" w:cstheme="minorHAnsi"/>
          <w:szCs w:val="21"/>
        </w:rPr>
        <w:t xml:space="preserve"> et al.</w:t>
      </w:r>
      <w:r w:rsidRPr="00136527">
        <w:rPr>
          <w:rFonts w:asciiTheme="minorHAnsi" w:hAnsiTheme="minorHAnsi" w:cstheme="minorHAnsi"/>
          <w:szCs w:val="21"/>
        </w:rPr>
        <w:t>, 2019</w:t>
      </w:r>
      <w:bookmarkEnd w:id="92"/>
      <w:r w:rsidRPr="00136527">
        <w:rPr>
          <w:rFonts w:asciiTheme="minorHAnsi" w:hAnsiTheme="minorHAnsi" w:cstheme="minorHAnsi"/>
          <w:szCs w:val="21"/>
        </w:rPr>
        <w:t>).</w:t>
      </w:r>
    </w:p>
    <w:p w14:paraId="0BED2520" w14:textId="77777777" w:rsidR="00CD0575" w:rsidRPr="00136527" w:rsidRDefault="00CD0575" w:rsidP="00136527">
      <w:pPr>
        <w:pStyle w:val="ListParagraph"/>
        <w:numPr>
          <w:ilvl w:val="0"/>
          <w:numId w:val="29"/>
        </w:numPr>
        <w:spacing w:line="276" w:lineRule="auto"/>
        <w:ind w:left="714" w:hanging="357"/>
        <w:contextualSpacing w:val="0"/>
        <w:rPr>
          <w:rFonts w:asciiTheme="minorHAnsi" w:hAnsiTheme="minorHAnsi" w:cstheme="minorHAnsi"/>
          <w:szCs w:val="21"/>
        </w:rPr>
      </w:pPr>
      <w:r w:rsidRPr="00136527">
        <w:rPr>
          <w:rFonts w:asciiTheme="minorHAnsi" w:hAnsiTheme="minorHAnsi" w:cstheme="minorHAnsi"/>
          <w:szCs w:val="21"/>
        </w:rPr>
        <w:t>Career-related preparation including:</w:t>
      </w:r>
    </w:p>
    <w:p w14:paraId="23B5E3D1" w14:textId="77777777" w:rsidR="00CD0575" w:rsidRPr="00136527" w:rsidRDefault="00CD0575" w:rsidP="00136527">
      <w:pPr>
        <w:pStyle w:val="ListParagraph"/>
        <w:numPr>
          <w:ilvl w:val="1"/>
          <w:numId w:val="29"/>
        </w:numPr>
        <w:spacing w:line="276" w:lineRule="auto"/>
        <w:contextualSpacing w:val="0"/>
        <w:rPr>
          <w:rFonts w:asciiTheme="minorHAnsi" w:hAnsiTheme="minorHAnsi" w:cstheme="minorHAnsi"/>
          <w:szCs w:val="21"/>
        </w:rPr>
      </w:pPr>
      <w:r w:rsidRPr="00136527">
        <w:rPr>
          <w:rFonts w:asciiTheme="minorHAnsi" w:hAnsiTheme="minorHAnsi" w:cstheme="minorHAnsi"/>
          <w:szCs w:val="21"/>
        </w:rPr>
        <w:t>career discovery practices to identify the unique strengths and interests of individual students (</w:t>
      </w:r>
      <w:proofErr w:type="spellStart"/>
      <w:r w:rsidRPr="00136527">
        <w:rPr>
          <w:rFonts w:asciiTheme="minorHAnsi" w:hAnsiTheme="minorHAnsi" w:cstheme="minorHAnsi"/>
          <w:szCs w:val="21"/>
        </w:rPr>
        <w:t>Scheef</w:t>
      </w:r>
      <w:proofErr w:type="spellEnd"/>
      <w:r w:rsidRPr="00136527">
        <w:rPr>
          <w:rFonts w:asciiTheme="minorHAnsi" w:hAnsiTheme="minorHAnsi" w:cstheme="minorHAnsi"/>
          <w:szCs w:val="21"/>
        </w:rPr>
        <w:t>, 2019)</w:t>
      </w:r>
    </w:p>
    <w:p w14:paraId="13F17C54" w14:textId="728FA53A" w:rsidR="00CD0575" w:rsidRPr="00136527" w:rsidRDefault="00CD0575" w:rsidP="00136527">
      <w:pPr>
        <w:pStyle w:val="ListParagraph"/>
        <w:numPr>
          <w:ilvl w:val="1"/>
          <w:numId w:val="29"/>
        </w:numPr>
        <w:spacing w:line="276" w:lineRule="auto"/>
        <w:contextualSpacing w:val="0"/>
        <w:rPr>
          <w:rFonts w:asciiTheme="minorHAnsi" w:hAnsiTheme="minorHAnsi" w:cstheme="minorHAnsi"/>
          <w:szCs w:val="21"/>
        </w:rPr>
      </w:pPr>
      <w:r w:rsidRPr="00136527">
        <w:rPr>
          <w:rFonts w:asciiTheme="minorHAnsi" w:hAnsiTheme="minorHAnsi" w:cstheme="minorHAnsi"/>
          <w:szCs w:val="21"/>
        </w:rPr>
        <w:t xml:space="preserve">vocational experience through networking and internship/job placement (Gilson &amp; Carter, 2016; </w:t>
      </w:r>
      <w:bookmarkStart w:id="93" w:name="_Hlk40706049"/>
      <w:proofErr w:type="spellStart"/>
      <w:r w:rsidRPr="00136527">
        <w:rPr>
          <w:rFonts w:asciiTheme="minorHAnsi" w:hAnsiTheme="minorHAnsi" w:cstheme="minorHAnsi"/>
          <w:szCs w:val="21"/>
        </w:rPr>
        <w:t>Skellern</w:t>
      </w:r>
      <w:proofErr w:type="spellEnd"/>
      <w:r w:rsidRPr="00136527">
        <w:rPr>
          <w:rFonts w:asciiTheme="minorHAnsi" w:hAnsiTheme="minorHAnsi" w:cstheme="minorHAnsi"/>
          <w:szCs w:val="21"/>
        </w:rPr>
        <w:t xml:space="preserve"> &amp; Astbury, 201</w:t>
      </w:r>
      <w:bookmarkEnd w:id="93"/>
      <w:r w:rsidR="00AB2647">
        <w:rPr>
          <w:rFonts w:asciiTheme="minorHAnsi" w:hAnsiTheme="minorHAnsi" w:cstheme="minorHAnsi"/>
          <w:szCs w:val="21"/>
        </w:rPr>
        <w:t>4</w:t>
      </w:r>
      <w:r w:rsidRPr="00136527">
        <w:rPr>
          <w:rFonts w:asciiTheme="minorHAnsi" w:hAnsiTheme="minorHAnsi" w:cstheme="minorHAnsi"/>
          <w:szCs w:val="21"/>
        </w:rPr>
        <w:t xml:space="preserve">; </w:t>
      </w:r>
      <w:r w:rsidR="00185FEC" w:rsidRPr="00136527">
        <w:rPr>
          <w:rFonts w:asciiTheme="minorHAnsi" w:hAnsiTheme="minorHAnsi" w:cstheme="minorHAnsi"/>
          <w:szCs w:val="21"/>
        </w:rPr>
        <w:t>Ryan et al., 2019</w:t>
      </w:r>
      <w:r w:rsidRPr="00136527">
        <w:rPr>
          <w:rFonts w:asciiTheme="minorHAnsi" w:hAnsiTheme="minorHAnsi" w:cstheme="minorHAnsi"/>
          <w:szCs w:val="21"/>
        </w:rPr>
        <w:t>)</w:t>
      </w:r>
    </w:p>
    <w:p w14:paraId="323B6D38" w14:textId="40D04E9C" w:rsidR="00CD0575" w:rsidRPr="00136527" w:rsidRDefault="00CD0575" w:rsidP="00136527">
      <w:pPr>
        <w:pStyle w:val="ListParagraph"/>
        <w:numPr>
          <w:ilvl w:val="1"/>
          <w:numId w:val="29"/>
        </w:numPr>
        <w:spacing w:line="276" w:lineRule="auto"/>
        <w:contextualSpacing w:val="0"/>
        <w:rPr>
          <w:rFonts w:asciiTheme="minorHAnsi" w:hAnsiTheme="minorHAnsi" w:cstheme="minorHAnsi"/>
          <w:szCs w:val="21"/>
        </w:rPr>
      </w:pPr>
      <w:r w:rsidRPr="00136527">
        <w:rPr>
          <w:rFonts w:asciiTheme="minorHAnsi" w:hAnsiTheme="minorHAnsi" w:cstheme="minorHAnsi"/>
          <w:szCs w:val="21"/>
        </w:rPr>
        <w:t>employment officers and job coaches to support students in accessing employment opportunities (</w:t>
      </w:r>
      <w:proofErr w:type="spellStart"/>
      <w:r w:rsidRPr="00136527">
        <w:rPr>
          <w:rFonts w:asciiTheme="minorHAnsi" w:hAnsiTheme="minorHAnsi" w:cstheme="minorHAnsi"/>
          <w:szCs w:val="21"/>
        </w:rPr>
        <w:t>Skellern</w:t>
      </w:r>
      <w:proofErr w:type="spellEnd"/>
      <w:r w:rsidRPr="00136527">
        <w:rPr>
          <w:rFonts w:asciiTheme="minorHAnsi" w:hAnsiTheme="minorHAnsi" w:cstheme="minorHAnsi"/>
          <w:szCs w:val="21"/>
        </w:rPr>
        <w:t xml:space="preserve"> &amp; Astbury, 201</w:t>
      </w:r>
      <w:r w:rsidR="00AB2647">
        <w:rPr>
          <w:rFonts w:asciiTheme="minorHAnsi" w:hAnsiTheme="minorHAnsi" w:cstheme="minorHAnsi"/>
          <w:szCs w:val="21"/>
        </w:rPr>
        <w:t>4</w:t>
      </w:r>
      <w:r w:rsidRPr="00136527">
        <w:rPr>
          <w:rFonts w:asciiTheme="minorHAnsi" w:hAnsiTheme="minorHAnsi" w:cstheme="minorHAnsi"/>
          <w:szCs w:val="21"/>
        </w:rPr>
        <w:t xml:space="preserve"> </w:t>
      </w:r>
      <w:r w:rsidR="00185FEC" w:rsidRPr="00136527">
        <w:rPr>
          <w:rFonts w:asciiTheme="minorHAnsi" w:hAnsiTheme="minorHAnsi" w:cstheme="minorHAnsi"/>
          <w:szCs w:val="21"/>
        </w:rPr>
        <w:t>Ryan et al., 2019</w:t>
      </w:r>
      <w:r w:rsidRPr="00136527">
        <w:rPr>
          <w:rFonts w:asciiTheme="minorHAnsi" w:hAnsiTheme="minorHAnsi" w:cstheme="minorHAnsi"/>
          <w:szCs w:val="21"/>
        </w:rPr>
        <w:t>)</w:t>
      </w:r>
    </w:p>
    <w:p w14:paraId="2CD9DADB" w14:textId="34260480" w:rsidR="00CD0575" w:rsidRPr="00136527" w:rsidRDefault="00CD0575" w:rsidP="00136527">
      <w:pPr>
        <w:pStyle w:val="ListParagraph"/>
        <w:numPr>
          <w:ilvl w:val="1"/>
          <w:numId w:val="29"/>
        </w:numPr>
        <w:spacing w:line="276" w:lineRule="auto"/>
        <w:contextualSpacing w:val="0"/>
        <w:rPr>
          <w:rFonts w:asciiTheme="minorHAnsi" w:hAnsiTheme="minorHAnsi" w:cstheme="minorHAnsi"/>
          <w:szCs w:val="21"/>
        </w:rPr>
      </w:pPr>
      <w:r w:rsidRPr="00136527">
        <w:rPr>
          <w:rFonts w:asciiTheme="minorHAnsi" w:hAnsiTheme="minorHAnsi" w:cstheme="minorHAnsi"/>
          <w:szCs w:val="21"/>
        </w:rPr>
        <w:t>open days and job shops (</w:t>
      </w:r>
      <w:proofErr w:type="spellStart"/>
      <w:r w:rsidRPr="00136527">
        <w:rPr>
          <w:rFonts w:asciiTheme="minorHAnsi" w:hAnsiTheme="minorHAnsi" w:cstheme="minorHAnsi"/>
          <w:szCs w:val="21"/>
        </w:rPr>
        <w:t>Skellern</w:t>
      </w:r>
      <w:proofErr w:type="spellEnd"/>
      <w:r w:rsidRPr="00136527">
        <w:rPr>
          <w:rFonts w:asciiTheme="minorHAnsi" w:hAnsiTheme="minorHAnsi" w:cstheme="minorHAnsi"/>
          <w:szCs w:val="21"/>
        </w:rPr>
        <w:t xml:space="preserve"> &amp; Astbury, 201</w:t>
      </w:r>
      <w:r w:rsidR="00AB2647">
        <w:rPr>
          <w:rFonts w:asciiTheme="minorHAnsi" w:hAnsiTheme="minorHAnsi" w:cstheme="minorHAnsi"/>
          <w:szCs w:val="21"/>
        </w:rPr>
        <w:t>4</w:t>
      </w:r>
      <w:r w:rsidRPr="00136527">
        <w:rPr>
          <w:rFonts w:asciiTheme="minorHAnsi" w:hAnsiTheme="minorHAnsi" w:cstheme="minorHAnsi"/>
          <w:szCs w:val="21"/>
        </w:rPr>
        <w:t xml:space="preserve"> </w:t>
      </w:r>
      <w:proofErr w:type="spellStart"/>
      <w:r w:rsidRPr="00136527">
        <w:rPr>
          <w:rFonts w:asciiTheme="minorHAnsi" w:hAnsiTheme="minorHAnsi" w:cstheme="minorHAnsi"/>
          <w:szCs w:val="21"/>
        </w:rPr>
        <w:t>Scheef</w:t>
      </w:r>
      <w:proofErr w:type="spellEnd"/>
      <w:r w:rsidRPr="00136527">
        <w:rPr>
          <w:rFonts w:asciiTheme="minorHAnsi" w:hAnsiTheme="minorHAnsi" w:cstheme="minorHAnsi"/>
          <w:szCs w:val="21"/>
        </w:rPr>
        <w:t>, 2019).</w:t>
      </w:r>
    </w:p>
    <w:p w14:paraId="3CADD169" w14:textId="77777777" w:rsidR="00CD0575" w:rsidRPr="00136527" w:rsidRDefault="00CD0575" w:rsidP="00136527">
      <w:pPr>
        <w:pStyle w:val="ListParagraph"/>
        <w:numPr>
          <w:ilvl w:val="0"/>
          <w:numId w:val="29"/>
        </w:numPr>
        <w:spacing w:line="276" w:lineRule="auto"/>
        <w:ind w:left="714" w:hanging="357"/>
        <w:contextualSpacing w:val="0"/>
        <w:rPr>
          <w:rFonts w:asciiTheme="minorHAnsi" w:hAnsiTheme="minorHAnsi" w:cstheme="minorHAnsi"/>
          <w:szCs w:val="21"/>
        </w:rPr>
      </w:pPr>
      <w:r w:rsidRPr="00136527">
        <w:rPr>
          <w:rFonts w:asciiTheme="minorHAnsi" w:hAnsiTheme="minorHAnsi" w:cstheme="minorHAnsi"/>
          <w:szCs w:val="21"/>
        </w:rPr>
        <w:lastRenderedPageBreak/>
        <w:t xml:space="preserve">Access to support to meet daily mental and physical needs, such as via classmates and personal </w:t>
      </w:r>
      <w:proofErr w:type="spellStart"/>
      <w:r w:rsidRPr="00136527">
        <w:rPr>
          <w:rFonts w:asciiTheme="minorHAnsi" w:hAnsiTheme="minorHAnsi" w:cstheme="minorHAnsi"/>
          <w:szCs w:val="21"/>
        </w:rPr>
        <w:t>carers</w:t>
      </w:r>
      <w:proofErr w:type="spellEnd"/>
      <w:r w:rsidRPr="00136527">
        <w:rPr>
          <w:rFonts w:asciiTheme="minorHAnsi" w:hAnsiTheme="minorHAnsi" w:cstheme="minorHAnsi"/>
          <w:szCs w:val="21"/>
        </w:rPr>
        <w:t xml:space="preserve"> (</w:t>
      </w:r>
      <w:proofErr w:type="spellStart"/>
      <w:r w:rsidRPr="00136527">
        <w:rPr>
          <w:rFonts w:asciiTheme="minorHAnsi" w:hAnsiTheme="minorHAnsi" w:cstheme="minorHAnsi"/>
          <w:szCs w:val="21"/>
        </w:rPr>
        <w:t>Uditsky</w:t>
      </w:r>
      <w:proofErr w:type="spellEnd"/>
      <w:r w:rsidRPr="00136527">
        <w:rPr>
          <w:rFonts w:asciiTheme="minorHAnsi" w:hAnsiTheme="minorHAnsi" w:cstheme="minorHAnsi"/>
          <w:szCs w:val="21"/>
        </w:rPr>
        <w:t xml:space="preserve"> &amp; Hughson 2012).</w:t>
      </w:r>
    </w:p>
    <w:p w14:paraId="7347786A" w14:textId="77777777" w:rsidR="00CD0575" w:rsidRPr="00136527" w:rsidRDefault="00CD0575" w:rsidP="00136527">
      <w:pPr>
        <w:pStyle w:val="ListParagraph"/>
        <w:numPr>
          <w:ilvl w:val="0"/>
          <w:numId w:val="29"/>
        </w:numPr>
        <w:spacing w:line="276" w:lineRule="auto"/>
        <w:ind w:left="714" w:hanging="357"/>
        <w:contextualSpacing w:val="0"/>
        <w:rPr>
          <w:rFonts w:asciiTheme="minorHAnsi" w:hAnsiTheme="minorHAnsi" w:cstheme="minorHAnsi"/>
          <w:szCs w:val="21"/>
        </w:rPr>
      </w:pPr>
      <w:r w:rsidRPr="00136527">
        <w:rPr>
          <w:rFonts w:asciiTheme="minorHAnsi" w:hAnsiTheme="minorHAnsi" w:cstheme="minorHAnsi"/>
          <w:szCs w:val="21"/>
        </w:rPr>
        <w:t>Scholarships and grants availability to students and families who do not have the ﬁnancial resources to cover these costs (</w:t>
      </w:r>
      <w:proofErr w:type="spellStart"/>
      <w:r w:rsidRPr="00136527">
        <w:rPr>
          <w:rFonts w:asciiTheme="minorHAnsi" w:hAnsiTheme="minorHAnsi" w:cstheme="minorHAnsi"/>
          <w:szCs w:val="21"/>
        </w:rPr>
        <w:t>Uditsky</w:t>
      </w:r>
      <w:proofErr w:type="spellEnd"/>
      <w:r w:rsidRPr="00136527">
        <w:rPr>
          <w:rFonts w:asciiTheme="minorHAnsi" w:hAnsiTheme="minorHAnsi" w:cstheme="minorHAnsi"/>
          <w:szCs w:val="21"/>
        </w:rPr>
        <w:t xml:space="preserve"> &amp; Hughson 2012).</w:t>
      </w:r>
    </w:p>
    <w:p w14:paraId="0DEA1E3A" w14:textId="38E9345F" w:rsidR="00CD0575" w:rsidRDefault="00CD0575" w:rsidP="00136527">
      <w:pPr>
        <w:pStyle w:val="ListParagraph"/>
        <w:numPr>
          <w:ilvl w:val="0"/>
          <w:numId w:val="25"/>
        </w:numPr>
        <w:spacing w:line="276" w:lineRule="auto"/>
        <w:ind w:left="714" w:hanging="357"/>
        <w:contextualSpacing w:val="0"/>
        <w:rPr>
          <w:rFonts w:asciiTheme="minorHAnsi" w:hAnsiTheme="minorHAnsi" w:cstheme="minorHAnsi"/>
          <w:szCs w:val="21"/>
        </w:rPr>
      </w:pPr>
      <w:r w:rsidRPr="00136527">
        <w:rPr>
          <w:rFonts w:asciiTheme="minorHAnsi" w:hAnsiTheme="minorHAnsi" w:cstheme="minorHAnsi"/>
          <w:szCs w:val="21"/>
        </w:rPr>
        <w:t>Flexibility in the schedules of students and staff (</w:t>
      </w:r>
      <w:proofErr w:type="spellStart"/>
      <w:r w:rsidRPr="00136527">
        <w:rPr>
          <w:rFonts w:asciiTheme="minorHAnsi" w:hAnsiTheme="minorHAnsi" w:cstheme="minorHAnsi"/>
          <w:szCs w:val="21"/>
        </w:rPr>
        <w:t>Scheef</w:t>
      </w:r>
      <w:proofErr w:type="spellEnd"/>
      <w:r w:rsidRPr="00136527">
        <w:rPr>
          <w:rFonts w:asciiTheme="minorHAnsi" w:hAnsiTheme="minorHAnsi" w:cstheme="minorHAnsi"/>
          <w:szCs w:val="21"/>
        </w:rPr>
        <w:t>, 2019).</w:t>
      </w:r>
      <w:bookmarkStart w:id="94" w:name="_Hlk39743710"/>
    </w:p>
    <w:p w14:paraId="658AE8F7" w14:textId="77777777" w:rsidR="00136527" w:rsidRPr="00136527" w:rsidRDefault="00136527" w:rsidP="00136527">
      <w:pPr>
        <w:spacing w:line="276" w:lineRule="auto"/>
        <w:rPr>
          <w:rFonts w:asciiTheme="minorHAnsi" w:hAnsiTheme="minorHAnsi" w:cstheme="minorHAnsi"/>
          <w:szCs w:val="21"/>
        </w:rPr>
      </w:pPr>
    </w:p>
    <w:p w14:paraId="69965DCD" w14:textId="77777777" w:rsidR="00CD0575" w:rsidRDefault="00CD0575" w:rsidP="00CE427B">
      <w:pPr>
        <w:pStyle w:val="Heading2"/>
      </w:pPr>
      <w:bookmarkStart w:id="95" w:name="_Toc49417922"/>
      <w:r w:rsidRPr="00FE5001">
        <w:t>Programs and Evidence</w:t>
      </w:r>
      <w:bookmarkEnd w:id="95"/>
    </w:p>
    <w:p w14:paraId="48996D4B" w14:textId="77777777" w:rsidR="00CD0575" w:rsidRPr="00136527" w:rsidRDefault="00CD0575" w:rsidP="00136527">
      <w:pPr>
        <w:snapToGrid w:val="0"/>
        <w:spacing w:line="276" w:lineRule="auto"/>
        <w:rPr>
          <w:rFonts w:asciiTheme="minorHAnsi" w:hAnsiTheme="minorHAnsi" w:cstheme="minorHAnsi"/>
          <w:szCs w:val="21"/>
        </w:rPr>
      </w:pPr>
      <w:r w:rsidRPr="00136527">
        <w:rPr>
          <w:rFonts w:asciiTheme="minorHAnsi" w:hAnsiTheme="minorHAnsi" w:cstheme="minorHAnsi"/>
          <w:szCs w:val="21"/>
        </w:rPr>
        <w:t>There are three main models of university education for people with disability:</w:t>
      </w:r>
    </w:p>
    <w:p w14:paraId="4102BEB2" w14:textId="77777777" w:rsidR="00CD0575" w:rsidRPr="00136527" w:rsidRDefault="00CD0575" w:rsidP="00136527">
      <w:pPr>
        <w:pStyle w:val="ListParagraph"/>
        <w:numPr>
          <w:ilvl w:val="0"/>
          <w:numId w:val="31"/>
        </w:numPr>
        <w:snapToGrid w:val="0"/>
        <w:spacing w:line="276" w:lineRule="auto"/>
        <w:rPr>
          <w:rFonts w:asciiTheme="minorHAnsi" w:hAnsiTheme="minorHAnsi" w:cstheme="minorHAnsi"/>
          <w:szCs w:val="21"/>
        </w:rPr>
      </w:pPr>
      <w:r w:rsidRPr="00136527">
        <w:rPr>
          <w:rFonts w:asciiTheme="minorHAnsi" w:hAnsiTheme="minorHAnsi" w:cstheme="minorHAnsi"/>
          <w:szCs w:val="21"/>
        </w:rPr>
        <w:t>Fully inclusive models (with individual support):</w:t>
      </w:r>
    </w:p>
    <w:p w14:paraId="620EF391" w14:textId="68F584CC" w:rsidR="00CD0575" w:rsidRPr="00136527" w:rsidRDefault="00CD0575" w:rsidP="00136527">
      <w:pPr>
        <w:tabs>
          <w:tab w:val="left" w:pos="720"/>
        </w:tabs>
        <w:snapToGrid w:val="0"/>
        <w:spacing w:line="276" w:lineRule="auto"/>
        <w:ind w:left="720"/>
        <w:rPr>
          <w:rFonts w:asciiTheme="minorHAnsi" w:hAnsiTheme="minorHAnsi" w:cstheme="minorHAnsi"/>
          <w:szCs w:val="21"/>
        </w:rPr>
      </w:pPr>
      <w:r w:rsidRPr="00136527">
        <w:rPr>
          <w:rFonts w:asciiTheme="minorHAnsi" w:hAnsiTheme="minorHAnsi" w:cstheme="minorHAnsi"/>
          <w:szCs w:val="21"/>
        </w:rPr>
        <w:t>Students with intellectual disability attend mainstream college courses, including certificate or degree programs (for audit or credit), participate in mainstream on campus social activities and may engage in career and employment related activities.</w:t>
      </w:r>
    </w:p>
    <w:p w14:paraId="72A2F79C" w14:textId="77777777" w:rsidR="00CD0575" w:rsidRPr="00136527" w:rsidRDefault="00CD0575" w:rsidP="00136527">
      <w:pPr>
        <w:pStyle w:val="ListParagraph"/>
        <w:numPr>
          <w:ilvl w:val="0"/>
          <w:numId w:val="31"/>
        </w:numPr>
        <w:snapToGrid w:val="0"/>
        <w:spacing w:line="276" w:lineRule="auto"/>
        <w:rPr>
          <w:rFonts w:asciiTheme="minorHAnsi" w:hAnsiTheme="minorHAnsi" w:cstheme="minorHAnsi"/>
          <w:szCs w:val="21"/>
        </w:rPr>
      </w:pPr>
      <w:r w:rsidRPr="00136527">
        <w:rPr>
          <w:rFonts w:asciiTheme="minorHAnsi" w:hAnsiTheme="minorHAnsi" w:cstheme="minorHAnsi"/>
          <w:szCs w:val="21"/>
        </w:rPr>
        <w:t>Mixed or hybrid models:</w:t>
      </w:r>
    </w:p>
    <w:p w14:paraId="71021820" w14:textId="77777777" w:rsidR="00CD0575" w:rsidRPr="00136527" w:rsidRDefault="00CD0575" w:rsidP="00136527">
      <w:pPr>
        <w:snapToGrid w:val="0"/>
        <w:spacing w:line="276" w:lineRule="auto"/>
        <w:ind w:left="720"/>
        <w:rPr>
          <w:rFonts w:asciiTheme="minorHAnsi" w:hAnsiTheme="minorHAnsi" w:cstheme="minorHAnsi"/>
          <w:szCs w:val="21"/>
        </w:rPr>
      </w:pPr>
      <w:r w:rsidRPr="00136527">
        <w:rPr>
          <w:rFonts w:asciiTheme="minorHAnsi" w:hAnsiTheme="minorHAnsi" w:cstheme="minorHAnsi"/>
          <w:szCs w:val="21"/>
        </w:rPr>
        <w:t>Students with intellectual disability can attend mainstream academic classes (for audit or credit) and/or social activities on campus, while also participating in life skills or transition classes with other students with disabilities.</w:t>
      </w:r>
    </w:p>
    <w:p w14:paraId="78647896" w14:textId="77777777" w:rsidR="00CD0575" w:rsidRPr="00136527" w:rsidRDefault="00CD0575" w:rsidP="00136527">
      <w:pPr>
        <w:pStyle w:val="ListParagraph"/>
        <w:numPr>
          <w:ilvl w:val="0"/>
          <w:numId w:val="31"/>
        </w:numPr>
        <w:snapToGrid w:val="0"/>
        <w:spacing w:line="276" w:lineRule="auto"/>
        <w:rPr>
          <w:rFonts w:asciiTheme="minorHAnsi" w:hAnsiTheme="minorHAnsi" w:cstheme="minorHAnsi"/>
          <w:szCs w:val="21"/>
        </w:rPr>
      </w:pPr>
      <w:r w:rsidRPr="00136527">
        <w:rPr>
          <w:rFonts w:asciiTheme="minorHAnsi" w:hAnsiTheme="minorHAnsi" w:cstheme="minorHAnsi"/>
          <w:szCs w:val="21"/>
        </w:rPr>
        <w:t>Substantially separate or segregated models:</w:t>
      </w:r>
    </w:p>
    <w:p w14:paraId="41730129" w14:textId="6CBFDF0D" w:rsidR="00CD0575" w:rsidRPr="00136527" w:rsidRDefault="00CD0575" w:rsidP="00136527">
      <w:pPr>
        <w:snapToGrid w:val="0"/>
        <w:spacing w:line="276" w:lineRule="auto"/>
        <w:ind w:left="720"/>
        <w:rPr>
          <w:rFonts w:asciiTheme="minorHAnsi" w:hAnsiTheme="minorHAnsi" w:cstheme="minorHAnsi"/>
          <w:szCs w:val="21"/>
        </w:rPr>
      </w:pPr>
      <w:r w:rsidRPr="00136527">
        <w:rPr>
          <w:rFonts w:asciiTheme="minorHAnsi" w:hAnsiTheme="minorHAnsi" w:cstheme="minorHAnsi"/>
          <w:szCs w:val="21"/>
        </w:rPr>
        <w:t>Students with intellectual disability only attend classes with other students with disabilities (i.e. life skills or transition programs). Career development and work experience may be included (</w:t>
      </w:r>
      <w:proofErr w:type="spellStart"/>
      <w:r w:rsidRPr="00136527">
        <w:rPr>
          <w:rFonts w:asciiTheme="minorHAnsi" w:hAnsiTheme="minorHAnsi" w:cstheme="minorHAnsi"/>
          <w:szCs w:val="21"/>
        </w:rPr>
        <w:t>Rillotta</w:t>
      </w:r>
      <w:proofErr w:type="spellEnd"/>
      <w:r w:rsidRPr="00136527">
        <w:rPr>
          <w:rFonts w:asciiTheme="minorHAnsi" w:hAnsiTheme="minorHAnsi" w:cstheme="minorHAnsi"/>
          <w:szCs w:val="21"/>
        </w:rPr>
        <w:t xml:space="preserve"> et al.</w:t>
      </w:r>
      <w:r w:rsidR="001872FD" w:rsidRPr="00136527">
        <w:rPr>
          <w:rFonts w:asciiTheme="minorHAnsi" w:hAnsiTheme="minorHAnsi" w:cstheme="minorHAnsi"/>
          <w:szCs w:val="21"/>
        </w:rPr>
        <w:t>,</w:t>
      </w:r>
      <w:r w:rsidRPr="00136527">
        <w:rPr>
          <w:rFonts w:asciiTheme="minorHAnsi" w:hAnsiTheme="minorHAnsi" w:cstheme="minorHAnsi"/>
          <w:szCs w:val="21"/>
        </w:rPr>
        <w:t xml:space="preserve"> 2020).</w:t>
      </w:r>
    </w:p>
    <w:p w14:paraId="740066AC" w14:textId="77777777" w:rsidR="00CD0575" w:rsidRPr="00136527" w:rsidRDefault="00CD0575" w:rsidP="00136527">
      <w:pPr>
        <w:snapToGrid w:val="0"/>
        <w:spacing w:line="276" w:lineRule="auto"/>
        <w:rPr>
          <w:rFonts w:asciiTheme="minorHAnsi" w:hAnsiTheme="minorHAnsi" w:cstheme="minorHAnsi"/>
          <w:szCs w:val="21"/>
        </w:rPr>
      </w:pPr>
      <w:r w:rsidRPr="00136527">
        <w:rPr>
          <w:rFonts w:asciiTheme="minorHAnsi" w:hAnsiTheme="minorHAnsi" w:cstheme="minorHAnsi"/>
          <w:szCs w:val="21"/>
        </w:rPr>
        <w:t>Since 2008, the United States has been implementing Transition and Post-Secondary (university/college) programs for students with intellectual disabilities, using inclusive and hybrid models:</w:t>
      </w:r>
    </w:p>
    <w:p w14:paraId="4E6FBA16" w14:textId="44AF521C" w:rsidR="00CD0575" w:rsidRPr="00136527" w:rsidRDefault="00CD0575" w:rsidP="00136527">
      <w:pPr>
        <w:spacing w:line="276" w:lineRule="auto"/>
        <w:ind w:left="360" w:right="360"/>
        <w:rPr>
          <w:rFonts w:asciiTheme="minorHAnsi" w:hAnsiTheme="minorHAnsi" w:cstheme="minorHAnsi"/>
          <w:szCs w:val="21"/>
        </w:rPr>
      </w:pPr>
      <w:r w:rsidRPr="00136527">
        <w:rPr>
          <w:rFonts w:asciiTheme="minorHAnsi" w:hAnsiTheme="minorHAnsi" w:cstheme="minorHAnsi"/>
          <w:szCs w:val="21"/>
        </w:rPr>
        <w:t>What we know thus far from the relatively recent emergence of these postsecondary educational programs is that college experiences provide a viable and unique pathway to CIE [competitive integrated employment] … and that participation in postsecondary education significantly increases the odds of successful employment for students with IDD [intellectual and developmental disability] (</w:t>
      </w:r>
      <w:proofErr w:type="spellStart"/>
      <w:r w:rsidRPr="00136527">
        <w:rPr>
          <w:rFonts w:asciiTheme="minorHAnsi" w:hAnsiTheme="minorHAnsi" w:cstheme="minorHAnsi"/>
          <w:szCs w:val="21"/>
        </w:rPr>
        <w:t>Wehman</w:t>
      </w:r>
      <w:proofErr w:type="spellEnd"/>
      <w:r w:rsidRPr="00136527">
        <w:rPr>
          <w:rFonts w:asciiTheme="minorHAnsi" w:hAnsiTheme="minorHAnsi" w:cstheme="minorHAnsi"/>
          <w:szCs w:val="21"/>
        </w:rPr>
        <w:t xml:space="preserve"> et al.</w:t>
      </w:r>
      <w:r w:rsidR="00630692" w:rsidRPr="00136527">
        <w:rPr>
          <w:rFonts w:asciiTheme="minorHAnsi" w:hAnsiTheme="minorHAnsi" w:cstheme="minorHAnsi"/>
          <w:szCs w:val="21"/>
        </w:rPr>
        <w:t>,</w:t>
      </w:r>
      <w:r w:rsidRPr="00136527">
        <w:rPr>
          <w:rFonts w:asciiTheme="minorHAnsi" w:hAnsiTheme="minorHAnsi" w:cstheme="minorHAnsi"/>
          <w:szCs w:val="21"/>
        </w:rPr>
        <w:t xml:space="preserve"> 2018, </w:t>
      </w:r>
      <w:r w:rsidR="0081089B" w:rsidRPr="00136527">
        <w:rPr>
          <w:rFonts w:asciiTheme="minorHAnsi" w:hAnsiTheme="minorHAnsi" w:cstheme="minorHAnsi"/>
          <w:szCs w:val="21"/>
        </w:rPr>
        <w:t xml:space="preserve">p. </w:t>
      </w:r>
      <w:r w:rsidRPr="00136527">
        <w:rPr>
          <w:rFonts w:asciiTheme="minorHAnsi" w:hAnsiTheme="minorHAnsi" w:cstheme="minorHAnsi"/>
          <w:szCs w:val="21"/>
        </w:rPr>
        <w:t>137)</w:t>
      </w:r>
    </w:p>
    <w:p w14:paraId="2F42C385" w14:textId="2B8CA8F9" w:rsidR="00CD0575" w:rsidRPr="00136527" w:rsidRDefault="00CD0575" w:rsidP="00136527">
      <w:pPr>
        <w:snapToGrid w:val="0"/>
        <w:spacing w:line="276" w:lineRule="auto"/>
        <w:rPr>
          <w:rFonts w:asciiTheme="minorHAnsi" w:hAnsiTheme="minorHAnsi" w:cstheme="minorHAnsi"/>
          <w:szCs w:val="21"/>
        </w:rPr>
      </w:pPr>
      <w:r w:rsidRPr="00136527">
        <w:rPr>
          <w:rFonts w:asciiTheme="minorHAnsi" w:hAnsiTheme="minorHAnsi" w:cstheme="minorHAnsi"/>
          <w:szCs w:val="21"/>
        </w:rPr>
        <w:t xml:space="preserve">The ‘Think College’ project in the United States has been operating since 2010 and promotes the inclusion of people with intellectual disability in </w:t>
      </w:r>
      <w:proofErr w:type="gramStart"/>
      <w:r w:rsidRPr="00136527">
        <w:rPr>
          <w:rFonts w:asciiTheme="minorHAnsi" w:hAnsiTheme="minorHAnsi" w:cstheme="minorHAnsi"/>
          <w:szCs w:val="21"/>
        </w:rPr>
        <w:t>college based</w:t>
      </w:r>
      <w:proofErr w:type="gramEnd"/>
      <w:r w:rsidRPr="00136527">
        <w:rPr>
          <w:rFonts w:asciiTheme="minorHAnsi" w:hAnsiTheme="minorHAnsi" w:cstheme="minorHAnsi"/>
          <w:szCs w:val="21"/>
        </w:rPr>
        <w:t xml:space="preserve"> programs. Higher education colleges receive funding to create, expand or enhance higher education programs to include students with intellectual disability (</w:t>
      </w:r>
      <w:proofErr w:type="spellStart"/>
      <w:r w:rsidRPr="00136527">
        <w:rPr>
          <w:rFonts w:asciiTheme="minorHAnsi" w:hAnsiTheme="minorHAnsi" w:cstheme="minorHAnsi"/>
          <w:szCs w:val="21"/>
        </w:rPr>
        <w:t>Grigal</w:t>
      </w:r>
      <w:proofErr w:type="spellEnd"/>
      <w:r w:rsidRPr="00136527">
        <w:rPr>
          <w:rFonts w:asciiTheme="minorHAnsi" w:hAnsiTheme="minorHAnsi" w:cstheme="minorHAnsi"/>
          <w:szCs w:val="21"/>
        </w:rPr>
        <w:t xml:space="preserve"> et al.</w:t>
      </w:r>
      <w:r w:rsidR="00F81E46" w:rsidRPr="00136527">
        <w:rPr>
          <w:rFonts w:asciiTheme="minorHAnsi" w:hAnsiTheme="minorHAnsi" w:cstheme="minorHAnsi"/>
          <w:szCs w:val="21"/>
        </w:rPr>
        <w:t>,</w:t>
      </w:r>
      <w:r w:rsidRPr="00136527">
        <w:rPr>
          <w:rFonts w:asciiTheme="minorHAnsi" w:hAnsiTheme="minorHAnsi" w:cstheme="minorHAnsi"/>
          <w:szCs w:val="21"/>
        </w:rPr>
        <w:t xml:space="preserve"> 2019), </w:t>
      </w:r>
      <w:proofErr w:type="spellStart"/>
      <w:r w:rsidRPr="00136527">
        <w:rPr>
          <w:rFonts w:asciiTheme="minorHAnsi" w:hAnsiTheme="minorHAnsi" w:cstheme="minorHAnsi"/>
          <w:szCs w:val="21"/>
        </w:rPr>
        <w:t>utili</w:t>
      </w:r>
      <w:r w:rsidR="00717894" w:rsidRPr="00136527">
        <w:rPr>
          <w:rFonts w:asciiTheme="minorHAnsi" w:hAnsiTheme="minorHAnsi" w:cstheme="minorHAnsi"/>
          <w:szCs w:val="21"/>
        </w:rPr>
        <w:t>s</w:t>
      </w:r>
      <w:r w:rsidRPr="00136527">
        <w:rPr>
          <w:rFonts w:asciiTheme="minorHAnsi" w:hAnsiTheme="minorHAnsi" w:cstheme="minorHAnsi"/>
          <w:szCs w:val="21"/>
        </w:rPr>
        <w:t>ing</w:t>
      </w:r>
      <w:proofErr w:type="spellEnd"/>
      <w:r w:rsidRPr="00136527">
        <w:rPr>
          <w:rFonts w:asciiTheme="minorHAnsi" w:hAnsiTheme="minorHAnsi" w:cstheme="minorHAnsi"/>
          <w:szCs w:val="21"/>
        </w:rPr>
        <w:t xml:space="preserve"> all three models above. In 2018, 57 colleges and universities across the US participated with 981 students with intellectual disability enrolled (89% between 18-25 years, though ages ranged to 45 years of age). Programs include enrolment in mainstream higher education courses (58% of enrolments are in these) as well as </w:t>
      </w:r>
      <w:proofErr w:type="spellStart"/>
      <w:r w:rsidRPr="00136527">
        <w:rPr>
          <w:rFonts w:asciiTheme="minorHAnsi" w:hAnsiTheme="minorHAnsi" w:cstheme="minorHAnsi"/>
          <w:szCs w:val="21"/>
        </w:rPr>
        <w:t>speciali</w:t>
      </w:r>
      <w:r w:rsidR="00717894" w:rsidRPr="00136527">
        <w:rPr>
          <w:rFonts w:asciiTheme="minorHAnsi" w:hAnsiTheme="minorHAnsi" w:cstheme="minorHAnsi"/>
          <w:szCs w:val="21"/>
        </w:rPr>
        <w:t>s</w:t>
      </w:r>
      <w:r w:rsidRPr="00136527">
        <w:rPr>
          <w:rFonts w:asciiTheme="minorHAnsi" w:hAnsiTheme="minorHAnsi" w:cstheme="minorHAnsi"/>
          <w:szCs w:val="21"/>
        </w:rPr>
        <w:t>ed</w:t>
      </w:r>
      <w:proofErr w:type="spellEnd"/>
      <w:r w:rsidRPr="00136527">
        <w:rPr>
          <w:rFonts w:asciiTheme="minorHAnsi" w:hAnsiTheme="minorHAnsi" w:cstheme="minorHAnsi"/>
          <w:szCs w:val="21"/>
        </w:rPr>
        <w:t xml:space="preserve"> programs (usually related to life, social and career skills) open only to students with intellectual disability (</w:t>
      </w:r>
      <w:proofErr w:type="spellStart"/>
      <w:r w:rsidRPr="00136527">
        <w:rPr>
          <w:rFonts w:asciiTheme="minorHAnsi" w:hAnsiTheme="minorHAnsi" w:cstheme="minorHAnsi"/>
          <w:szCs w:val="21"/>
        </w:rPr>
        <w:t>Grigal</w:t>
      </w:r>
      <w:proofErr w:type="spellEnd"/>
      <w:r w:rsidRPr="00136527">
        <w:rPr>
          <w:rFonts w:asciiTheme="minorHAnsi" w:hAnsiTheme="minorHAnsi" w:cstheme="minorHAnsi"/>
          <w:szCs w:val="21"/>
        </w:rPr>
        <w:t xml:space="preserve"> et al.</w:t>
      </w:r>
      <w:r w:rsidR="00F81E46" w:rsidRPr="00136527">
        <w:rPr>
          <w:rFonts w:asciiTheme="minorHAnsi" w:hAnsiTheme="minorHAnsi" w:cstheme="minorHAnsi"/>
          <w:szCs w:val="21"/>
        </w:rPr>
        <w:t>,</w:t>
      </w:r>
      <w:r w:rsidRPr="00136527">
        <w:rPr>
          <w:rFonts w:asciiTheme="minorHAnsi" w:hAnsiTheme="minorHAnsi" w:cstheme="minorHAnsi"/>
          <w:szCs w:val="21"/>
        </w:rPr>
        <w:t xml:space="preserve"> 2019). Students selected different types of credentials from their experience: 29% of students with intellectual disability enrolled in standard courses; 28% enrolled in </w:t>
      </w:r>
      <w:proofErr w:type="spellStart"/>
      <w:r w:rsidRPr="00136527">
        <w:rPr>
          <w:rFonts w:asciiTheme="minorHAnsi" w:hAnsiTheme="minorHAnsi" w:cstheme="minorHAnsi"/>
          <w:szCs w:val="21"/>
        </w:rPr>
        <w:t>non assessed</w:t>
      </w:r>
      <w:proofErr w:type="spellEnd"/>
      <w:r w:rsidRPr="00136527">
        <w:rPr>
          <w:rFonts w:asciiTheme="minorHAnsi" w:hAnsiTheme="minorHAnsi" w:cstheme="minorHAnsi"/>
          <w:szCs w:val="21"/>
        </w:rPr>
        <w:t xml:space="preserve"> courses, and 34% had a special credential created as part of the Think College program. In 2018-2019, 37% of students had paid employment while they studied, with this figure increasing to 57% when also including those in paid work-based experience programs. 52% of students had a paid job at or within 90 days of exiting the program, and 64% of past graduates had a paid job one year after exit. This outcome data is compelling when compared with the national employment average of 18% of people with intellectual disability in the US (</w:t>
      </w:r>
      <w:proofErr w:type="spellStart"/>
      <w:r w:rsidRPr="00136527">
        <w:rPr>
          <w:rFonts w:asciiTheme="minorHAnsi" w:hAnsiTheme="minorHAnsi" w:cstheme="minorHAnsi"/>
          <w:szCs w:val="21"/>
        </w:rPr>
        <w:t>Grigal</w:t>
      </w:r>
      <w:proofErr w:type="spellEnd"/>
      <w:r w:rsidRPr="00136527">
        <w:rPr>
          <w:rFonts w:asciiTheme="minorHAnsi" w:hAnsiTheme="minorHAnsi" w:cstheme="minorHAnsi"/>
          <w:szCs w:val="21"/>
        </w:rPr>
        <w:t xml:space="preserve"> et al.</w:t>
      </w:r>
      <w:r w:rsidR="00F81E46" w:rsidRPr="00136527">
        <w:rPr>
          <w:rFonts w:asciiTheme="minorHAnsi" w:hAnsiTheme="minorHAnsi" w:cstheme="minorHAnsi"/>
          <w:szCs w:val="21"/>
        </w:rPr>
        <w:t>,</w:t>
      </w:r>
      <w:r w:rsidRPr="00136527">
        <w:rPr>
          <w:rFonts w:asciiTheme="minorHAnsi" w:hAnsiTheme="minorHAnsi" w:cstheme="minorHAnsi"/>
          <w:szCs w:val="21"/>
        </w:rPr>
        <w:t xml:space="preserve"> 2019).</w:t>
      </w:r>
    </w:p>
    <w:p w14:paraId="2F53A3E1" w14:textId="10F6B415" w:rsidR="00CD0575" w:rsidRPr="00136527" w:rsidRDefault="00CD0575" w:rsidP="00136527">
      <w:pPr>
        <w:snapToGrid w:val="0"/>
        <w:spacing w:line="276" w:lineRule="auto"/>
        <w:rPr>
          <w:rFonts w:asciiTheme="minorHAnsi" w:hAnsiTheme="minorHAnsi" w:cstheme="minorHAnsi"/>
          <w:szCs w:val="21"/>
        </w:rPr>
      </w:pPr>
      <w:r w:rsidRPr="00136527">
        <w:rPr>
          <w:rFonts w:asciiTheme="minorHAnsi" w:hAnsiTheme="minorHAnsi" w:cstheme="minorHAnsi"/>
          <w:szCs w:val="21"/>
        </w:rPr>
        <w:lastRenderedPageBreak/>
        <w:t>Research on similar programs in the US where students with intellectual disability experience inclusive higher education reports that such programs show a rate of employment for completing students that exceeds 70% (</w:t>
      </w:r>
      <w:proofErr w:type="spellStart"/>
      <w:r w:rsidRPr="00136527">
        <w:rPr>
          <w:rFonts w:asciiTheme="minorHAnsi" w:hAnsiTheme="minorHAnsi" w:cstheme="minorHAnsi"/>
          <w:szCs w:val="21"/>
        </w:rPr>
        <w:t>Uditsky</w:t>
      </w:r>
      <w:proofErr w:type="spellEnd"/>
      <w:r w:rsidRPr="00136527">
        <w:rPr>
          <w:rFonts w:asciiTheme="minorHAnsi" w:hAnsiTheme="minorHAnsi" w:cstheme="minorHAnsi"/>
          <w:szCs w:val="21"/>
        </w:rPr>
        <w:t xml:space="preserve"> </w:t>
      </w:r>
      <w:r w:rsidR="00543EBD" w:rsidRPr="00136527">
        <w:rPr>
          <w:rFonts w:asciiTheme="minorHAnsi" w:hAnsiTheme="minorHAnsi" w:cstheme="minorHAnsi"/>
          <w:szCs w:val="21"/>
        </w:rPr>
        <w:t>&amp;</w:t>
      </w:r>
      <w:r w:rsidRPr="00136527">
        <w:rPr>
          <w:rFonts w:asciiTheme="minorHAnsi" w:hAnsiTheme="minorHAnsi" w:cstheme="minorHAnsi"/>
          <w:szCs w:val="21"/>
        </w:rPr>
        <w:t xml:space="preserve"> Hughson, 2012). </w:t>
      </w:r>
    </w:p>
    <w:p w14:paraId="36C2AB0E" w14:textId="77777777" w:rsidR="00CD0575" w:rsidRPr="00136527" w:rsidRDefault="00CD0575" w:rsidP="00136527">
      <w:pPr>
        <w:snapToGrid w:val="0"/>
        <w:spacing w:line="276" w:lineRule="auto"/>
        <w:rPr>
          <w:rFonts w:asciiTheme="minorHAnsi" w:hAnsiTheme="minorHAnsi" w:cstheme="minorHAnsi"/>
          <w:szCs w:val="21"/>
        </w:rPr>
      </w:pPr>
      <w:r w:rsidRPr="00136527">
        <w:rPr>
          <w:rFonts w:asciiTheme="minorHAnsi" w:hAnsiTheme="minorHAnsi" w:cstheme="minorHAnsi"/>
          <w:szCs w:val="21"/>
        </w:rPr>
        <w:t xml:space="preserve">In Australia, there are two inclusive programs for students with intellectual disability in universities: ‘Up the Hill project’ at Flinders University and the ‘Uni 2 beyond’ project at University of Sydney. </w:t>
      </w:r>
    </w:p>
    <w:p w14:paraId="65291A64" w14:textId="43234A91" w:rsidR="00CD0575" w:rsidRPr="00136527" w:rsidRDefault="00CD0575" w:rsidP="00136527">
      <w:pPr>
        <w:pStyle w:val="Number1"/>
        <w:numPr>
          <w:ilvl w:val="0"/>
          <w:numId w:val="32"/>
        </w:numPr>
        <w:spacing w:before="120"/>
        <w:ind w:left="426"/>
        <w:rPr>
          <w:rFonts w:asciiTheme="minorHAnsi" w:hAnsiTheme="minorHAnsi" w:cstheme="minorHAnsi"/>
        </w:rPr>
      </w:pPr>
      <w:r w:rsidRPr="00136527">
        <w:rPr>
          <w:rFonts w:asciiTheme="minorHAnsi" w:hAnsiTheme="minorHAnsi" w:cstheme="minorHAnsi"/>
        </w:rPr>
        <w:t>Australia: Uni 2 beyond</w:t>
      </w:r>
    </w:p>
    <w:p w14:paraId="74E65427" w14:textId="77777777" w:rsidR="00CD0575" w:rsidRPr="00136527" w:rsidRDefault="00CD0575" w:rsidP="00136527">
      <w:pPr>
        <w:snapToGrid w:val="0"/>
        <w:spacing w:line="276" w:lineRule="auto"/>
        <w:rPr>
          <w:rFonts w:asciiTheme="minorHAnsi" w:hAnsiTheme="minorHAnsi" w:cstheme="minorHAnsi"/>
          <w:szCs w:val="21"/>
        </w:rPr>
      </w:pPr>
      <w:r w:rsidRPr="00136527">
        <w:rPr>
          <w:rFonts w:asciiTheme="minorHAnsi" w:hAnsiTheme="minorHAnsi" w:cstheme="minorHAnsi"/>
          <w:szCs w:val="21"/>
        </w:rPr>
        <w:t>The ‘Uni 2 beyond’ program at University of Sydney, established in 2012, enables students with intellectual disabilities to take one to two units of study with no assessment. The program is based on evidence that:</w:t>
      </w:r>
    </w:p>
    <w:p w14:paraId="4337569A" w14:textId="77777777" w:rsidR="00CD0575" w:rsidRPr="00136527" w:rsidRDefault="00CD0575" w:rsidP="00136527">
      <w:pPr>
        <w:snapToGrid w:val="0"/>
        <w:spacing w:line="276" w:lineRule="auto"/>
        <w:ind w:left="360" w:right="450"/>
        <w:rPr>
          <w:rFonts w:asciiTheme="minorHAnsi" w:hAnsiTheme="minorHAnsi" w:cstheme="minorHAnsi"/>
          <w:szCs w:val="21"/>
        </w:rPr>
      </w:pPr>
      <w:r w:rsidRPr="00136527">
        <w:rPr>
          <w:rStyle w:val="normaltextrun"/>
          <w:rFonts w:asciiTheme="minorHAnsi" w:hAnsiTheme="minorHAnsi" w:cstheme="minorHAnsi"/>
          <w:szCs w:val="21"/>
        </w:rPr>
        <w:t>A successful university experience can be measured in many ways apart from grades, including increased learning, independence, self-determination, and positive social experiences (Centre for Disability Studies, 2016).</w:t>
      </w:r>
    </w:p>
    <w:bookmarkEnd w:id="94"/>
    <w:p w14:paraId="3D02244B" w14:textId="403014C6" w:rsidR="00CD0575" w:rsidRPr="00136527" w:rsidRDefault="00CD0575" w:rsidP="00136527">
      <w:pPr>
        <w:spacing w:line="276" w:lineRule="auto"/>
        <w:rPr>
          <w:rFonts w:asciiTheme="minorHAnsi" w:hAnsiTheme="minorHAnsi" w:cstheme="minorHAnsi"/>
          <w:szCs w:val="21"/>
        </w:rPr>
      </w:pPr>
      <w:r w:rsidRPr="00136527">
        <w:rPr>
          <w:rFonts w:asciiTheme="minorHAnsi" w:hAnsiTheme="minorHAnsi" w:cstheme="minorHAnsi"/>
          <w:szCs w:val="21"/>
        </w:rPr>
        <w:t>Students are paired with peer mentors and have access to one to one tutoring as well as facilitated social inclusion supports to engage in campus activities and internship opportunities (</w:t>
      </w:r>
      <w:r w:rsidR="009B1431" w:rsidRPr="00136527">
        <w:rPr>
          <w:rStyle w:val="normaltextrun"/>
          <w:rFonts w:asciiTheme="minorHAnsi" w:hAnsiTheme="minorHAnsi" w:cstheme="minorHAnsi"/>
          <w:szCs w:val="21"/>
        </w:rPr>
        <w:t>Centre for Disability Studies, n.d.).</w:t>
      </w:r>
    </w:p>
    <w:p w14:paraId="16371CA0" w14:textId="7C2BF7AB" w:rsidR="00CD0575" w:rsidRPr="00136527" w:rsidRDefault="00CD0575" w:rsidP="00136527">
      <w:pPr>
        <w:pStyle w:val="Number1"/>
        <w:numPr>
          <w:ilvl w:val="0"/>
          <w:numId w:val="32"/>
        </w:numPr>
        <w:spacing w:before="120"/>
        <w:ind w:left="426"/>
        <w:rPr>
          <w:rFonts w:asciiTheme="minorHAnsi" w:hAnsiTheme="minorHAnsi" w:cstheme="minorHAnsi"/>
        </w:rPr>
      </w:pPr>
      <w:r w:rsidRPr="00136527">
        <w:rPr>
          <w:rFonts w:asciiTheme="minorHAnsi" w:hAnsiTheme="minorHAnsi" w:cstheme="minorHAnsi"/>
        </w:rPr>
        <w:t>Australia: Up the Hill</w:t>
      </w:r>
    </w:p>
    <w:p w14:paraId="5B51F59F" w14:textId="31A02E45" w:rsidR="00CD0575" w:rsidRPr="00136527" w:rsidRDefault="00CD0575" w:rsidP="00136527">
      <w:pPr>
        <w:spacing w:line="276" w:lineRule="auto"/>
        <w:rPr>
          <w:rFonts w:asciiTheme="minorHAnsi" w:hAnsiTheme="minorHAnsi" w:cstheme="minorHAnsi"/>
          <w:szCs w:val="21"/>
        </w:rPr>
      </w:pPr>
      <w:r w:rsidRPr="00136527">
        <w:rPr>
          <w:rFonts w:asciiTheme="minorHAnsi" w:hAnsiTheme="minorHAnsi" w:cstheme="minorHAnsi"/>
          <w:szCs w:val="21"/>
        </w:rPr>
        <w:t xml:space="preserve">The Flinders University </w:t>
      </w:r>
      <w:r w:rsidR="00882CA0" w:rsidRPr="00136527">
        <w:rPr>
          <w:rFonts w:asciiTheme="minorHAnsi" w:hAnsiTheme="minorHAnsi" w:cstheme="minorHAnsi"/>
          <w:szCs w:val="21"/>
        </w:rPr>
        <w:t xml:space="preserve">(n.d.) </w:t>
      </w:r>
      <w:r w:rsidRPr="00136527">
        <w:rPr>
          <w:rFonts w:asciiTheme="minorHAnsi" w:hAnsiTheme="minorHAnsi" w:cstheme="minorHAnsi"/>
          <w:szCs w:val="21"/>
        </w:rPr>
        <w:t>‘Up the Hill’ program has been running since 1999 and operates using a similar model where students with disability select areas of study to attend but are not assessed. A certificate of recognition is awarded on completion of six academic semesters (3 years) as part of standard graduation ceremonies. Participating students have ranged in age from 19-66 years.</w:t>
      </w:r>
    </w:p>
    <w:p w14:paraId="19D6E8E0" w14:textId="77777777" w:rsidR="00341F0F" w:rsidRPr="00136527" w:rsidRDefault="00341F0F" w:rsidP="00136527">
      <w:pPr>
        <w:spacing w:line="276" w:lineRule="auto"/>
        <w:rPr>
          <w:rFonts w:asciiTheme="minorHAnsi" w:hAnsiTheme="minorHAnsi" w:cstheme="minorHAnsi"/>
          <w:szCs w:val="21"/>
        </w:rPr>
        <w:sectPr w:rsidR="00341F0F" w:rsidRPr="00136527" w:rsidSect="008926C2">
          <w:pgSz w:w="11909" w:h="16834" w:code="9"/>
          <w:pgMar w:top="964" w:right="964" w:bottom="964" w:left="964" w:header="432" w:footer="720" w:gutter="0"/>
          <w:cols w:space="720"/>
          <w:docGrid w:linePitch="360"/>
        </w:sectPr>
      </w:pPr>
    </w:p>
    <w:p w14:paraId="58C32B13" w14:textId="3F73ECF1" w:rsidR="00341F0F" w:rsidRDefault="00341F0F" w:rsidP="00CE427B">
      <w:pPr>
        <w:pStyle w:val="Heading1"/>
        <w:pBdr>
          <w:bottom w:val="single" w:sz="4" w:space="1" w:color="auto"/>
        </w:pBdr>
      </w:pPr>
      <w:bookmarkStart w:id="96" w:name="_Toc49462471"/>
      <w:r>
        <w:lastRenderedPageBreak/>
        <w:t>evidence piece 9:</w:t>
      </w:r>
      <w:bookmarkEnd w:id="96"/>
    </w:p>
    <w:p w14:paraId="1E3DAEC3" w14:textId="2E848565" w:rsidR="00341F0F" w:rsidRDefault="00341F0F" w:rsidP="00CE427B">
      <w:pPr>
        <w:pStyle w:val="Heading1"/>
        <w:pBdr>
          <w:bottom w:val="single" w:sz="4" w:space="1" w:color="auto"/>
        </w:pBdr>
      </w:pPr>
      <w:bookmarkStart w:id="97" w:name="_Toc49462472"/>
      <w:r>
        <w:t>The value of work-based learning for people with intellectual disability</w:t>
      </w:r>
      <w:bookmarkEnd w:id="97"/>
    </w:p>
    <w:p w14:paraId="3F6629CF" w14:textId="77777777" w:rsidR="00341F0F" w:rsidRDefault="00341F0F" w:rsidP="00CE427B"/>
    <w:p w14:paraId="4D5EC22A" w14:textId="77777777" w:rsidR="00341F0F" w:rsidRDefault="00341F0F" w:rsidP="00CE427B">
      <w:pPr>
        <w:pStyle w:val="Heading2"/>
      </w:pPr>
      <w:bookmarkStart w:id="98" w:name="_Toc49417925"/>
      <w:r>
        <w:t xml:space="preserve">What is work-based </w:t>
      </w:r>
      <w:proofErr w:type="gramStart"/>
      <w:r>
        <w:t>learning</w:t>
      </w:r>
      <w:proofErr w:type="gramEnd"/>
      <w:r>
        <w:t xml:space="preserve"> and does it have results?</w:t>
      </w:r>
      <w:bookmarkEnd w:id="98"/>
    </w:p>
    <w:p w14:paraId="474BA88A" w14:textId="29EFE959" w:rsidR="00341F0F" w:rsidRPr="00C702ED" w:rsidRDefault="00341F0F" w:rsidP="00C702ED">
      <w:pPr>
        <w:rPr>
          <w:szCs w:val="21"/>
        </w:rPr>
      </w:pPr>
      <w:r w:rsidRPr="00C702ED">
        <w:rPr>
          <w:szCs w:val="21"/>
        </w:rPr>
        <w:t xml:space="preserve">Work-based learning is a combination of two proven strategies for increasing employment of people with disability: </w:t>
      </w:r>
      <w:r w:rsidR="00143796" w:rsidRPr="00C702ED">
        <w:rPr>
          <w:szCs w:val="21"/>
        </w:rPr>
        <w:t>W</w:t>
      </w:r>
      <w:r w:rsidRPr="00C702ED">
        <w:rPr>
          <w:szCs w:val="21"/>
        </w:rPr>
        <w:t>ork experience and vocational training. Essentially it is:</w:t>
      </w:r>
    </w:p>
    <w:p w14:paraId="3C8D8376" w14:textId="516FD3F1" w:rsidR="00341F0F" w:rsidRPr="00C702ED" w:rsidRDefault="00341F0F" w:rsidP="00C702ED">
      <w:pPr>
        <w:ind w:left="360" w:right="360"/>
        <w:rPr>
          <w:szCs w:val="21"/>
        </w:rPr>
      </w:pPr>
      <w:r w:rsidRPr="00C702ED">
        <w:rPr>
          <w:szCs w:val="21"/>
        </w:rPr>
        <w:t xml:space="preserve">placement [in a job or work experience] accompanied with supported training in a </w:t>
      </w:r>
      <w:proofErr w:type="gramStart"/>
      <w:r w:rsidRPr="00C702ED">
        <w:rPr>
          <w:szCs w:val="21"/>
        </w:rPr>
        <w:t>real world</w:t>
      </w:r>
      <w:proofErr w:type="gramEnd"/>
      <w:r w:rsidRPr="00C702ED">
        <w:rPr>
          <w:szCs w:val="21"/>
        </w:rPr>
        <w:t xml:space="preserve"> context (Wakeford &amp; Waugh, 2014, p.</w:t>
      </w:r>
      <w:r w:rsidR="0076053E" w:rsidRPr="00C702ED">
        <w:rPr>
          <w:szCs w:val="21"/>
        </w:rPr>
        <w:t xml:space="preserve"> </w:t>
      </w:r>
      <w:r w:rsidRPr="00C702ED">
        <w:rPr>
          <w:szCs w:val="21"/>
        </w:rPr>
        <w:t>18)</w:t>
      </w:r>
      <w:r w:rsidR="00302147">
        <w:rPr>
          <w:szCs w:val="21"/>
        </w:rPr>
        <w:t>.</w:t>
      </w:r>
    </w:p>
    <w:p w14:paraId="1BF90ABB" w14:textId="095B93C0" w:rsidR="00341F0F" w:rsidRPr="00302147" w:rsidRDefault="00341F0F" w:rsidP="00C702ED">
      <w:pPr>
        <w:rPr>
          <w:szCs w:val="21"/>
        </w:rPr>
      </w:pPr>
      <w:r w:rsidRPr="00C702ED">
        <w:rPr>
          <w:szCs w:val="21"/>
        </w:rPr>
        <w:t xml:space="preserve">Work-based learning has been shown to have results for people with intellectual disability who learn well in situ (Crawford, 2011; </w:t>
      </w:r>
      <w:proofErr w:type="spellStart"/>
      <w:r w:rsidRPr="00C702ED">
        <w:rPr>
          <w:szCs w:val="21"/>
        </w:rPr>
        <w:t>Wehman</w:t>
      </w:r>
      <w:proofErr w:type="spellEnd"/>
      <w:r w:rsidRPr="00C702ED">
        <w:rPr>
          <w:szCs w:val="21"/>
        </w:rPr>
        <w:t xml:space="preserve"> et al.</w:t>
      </w:r>
      <w:r w:rsidR="00630692" w:rsidRPr="00C702ED">
        <w:rPr>
          <w:szCs w:val="21"/>
        </w:rPr>
        <w:t>,</w:t>
      </w:r>
      <w:r w:rsidRPr="00C702ED">
        <w:rPr>
          <w:szCs w:val="21"/>
        </w:rPr>
        <w:t xml:space="preserve"> 2018</w:t>
      </w:r>
      <w:r w:rsidRPr="00302147">
        <w:rPr>
          <w:szCs w:val="21"/>
        </w:rPr>
        <w:t>; Lewis et al., 2011</w:t>
      </w:r>
      <w:r w:rsidR="00BF3C82">
        <w:rPr>
          <w:szCs w:val="21"/>
        </w:rPr>
        <w:t>a</w:t>
      </w:r>
      <w:r w:rsidRPr="00302147">
        <w:rPr>
          <w:szCs w:val="21"/>
        </w:rPr>
        <w:t>), given that, for people with intellectual disability:</w:t>
      </w:r>
    </w:p>
    <w:p w14:paraId="3C1D58A3" w14:textId="193FEDF1" w:rsidR="00341F0F" w:rsidRPr="00302147" w:rsidRDefault="00341F0F" w:rsidP="00C702ED">
      <w:pPr>
        <w:ind w:left="360" w:right="720"/>
        <w:rPr>
          <w:szCs w:val="21"/>
        </w:rPr>
      </w:pPr>
      <w:r w:rsidRPr="00302147">
        <w:rPr>
          <w:szCs w:val="21"/>
        </w:rPr>
        <w:t xml:space="preserve">transfer of training from one setting (e.g., classroom) to another setting (e.g., workplace) is a particular impediment because of difficulties in </w:t>
      </w:r>
      <w:proofErr w:type="spellStart"/>
      <w:r w:rsidRPr="00302147">
        <w:rPr>
          <w:szCs w:val="21"/>
        </w:rPr>
        <w:t>generalisation</w:t>
      </w:r>
      <w:proofErr w:type="spellEnd"/>
      <w:r w:rsidRPr="00302147">
        <w:rPr>
          <w:szCs w:val="21"/>
        </w:rPr>
        <w:t xml:space="preserve"> of skills (Lewis et al., 2011</w:t>
      </w:r>
      <w:r w:rsidR="00BF3C82">
        <w:rPr>
          <w:szCs w:val="21"/>
        </w:rPr>
        <w:t>a</w:t>
      </w:r>
      <w:r w:rsidRPr="00302147">
        <w:rPr>
          <w:szCs w:val="21"/>
        </w:rPr>
        <w:t>. p.</w:t>
      </w:r>
      <w:r w:rsidR="0016171F" w:rsidRPr="00302147">
        <w:rPr>
          <w:szCs w:val="21"/>
        </w:rPr>
        <w:t xml:space="preserve"> </w:t>
      </w:r>
      <w:r w:rsidRPr="00302147">
        <w:rPr>
          <w:szCs w:val="21"/>
        </w:rPr>
        <w:t>108)</w:t>
      </w:r>
      <w:r w:rsidR="00302147" w:rsidRPr="00302147">
        <w:rPr>
          <w:szCs w:val="21"/>
        </w:rPr>
        <w:t>.</w:t>
      </w:r>
    </w:p>
    <w:p w14:paraId="4CDE419A" w14:textId="77777777" w:rsidR="00341F0F" w:rsidRPr="00302147" w:rsidRDefault="00341F0F" w:rsidP="00C702ED">
      <w:pPr>
        <w:rPr>
          <w:szCs w:val="21"/>
        </w:rPr>
      </w:pPr>
      <w:r w:rsidRPr="00302147">
        <w:rPr>
          <w:szCs w:val="21"/>
        </w:rPr>
        <w:t xml:space="preserve">Various researchers have argued that work-based learning, or ‘place then train’, is preferable to, and more successful than, the ‘train then place’ model, which is based on the idea that job seekers have to slowly acquire skills through a sequence of preparatory then vocational courses and prove their work ‘readiness’ (Cocks &amp; </w:t>
      </w:r>
      <w:proofErr w:type="spellStart"/>
      <w:r w:rsidRPr="00302147">
        <w:rPr>
          <w:szCs w:val="21"/>
        </w:rPr>
        <w:t>Thorensen</w:t>
      </w:r>
      <w:proofErr w:type="spellEnd"/>
      <w:r w:rsidRPr="00302147">
        <w:rPr>
          <w:szCs w:val="21"/>
        </w:rPr>
        <w:t>, 2013). As argued by some researchers, the work-based training model (or place then train)</w:t>
      </w:r>
    </w:p>
    <w:p w14:paraId="0587895D" w14:textId="2CB8D8C9" w:rsidR="00341F0F" w:rsidRPr="00302147" w:rsidRDefault="00341F0F" w:rsidP="00C702ED">
      <w:pPr>
        <w:ind w:left="360" w:right="360"/>
        <w:rPr>
          <w:szCs w:val="21"/>
        </w:rPr>
      </w:pPr>
      <w:r w:rsidRPr="00302147">
        <w:rPr>
          <w:szCs w:val="21"/>
        </w:rPr>
        <w:t xml:space="preserve">is particularly useful for those with autism and intellectual disability where generic skills development is not easily transferred from the classroom and into the workplace. Many young people with intellectual disability can struggle with classroom-based vocational training, and learn better through practical, hands-on experience. With this in mind, resources can be better </w:t>
      </w:r>
      <w:proofErr w:type="spellStart"/>
      <w:r w:rsidRPr="00302147">
        <w:rPr>
          <w:szCs w:val="21"/>
        </w:rPr>
        <w:t>utilised</w:t>
      </w:r>
      <w:proofErr w:type="spellEnd"/>
      <w:r w:rsidRPr="00302147">
        <w:rPr>
          <w:szCs w:val="21"/>
        </w:rPr>
        <w:t xml:space="preserve"> by training the person in the specific role, for a specific employer and on-the-job; rather than spending years ‘waiting’ for someone to becoming ‘work ready’ (Wakeford &amp; Waugh, 2014, p.</w:t>
      </w:r>
      <w:r w:rsidR="0076053E" w:rsidRPr="00302147">
        <w:rPr>
          <w:szCs w:val="21"/>
        </w:rPr>
        <w:t xml:space="preserve"> </w:t>
      </w:r>
      <w:r w:rsidRPr="00302147">
        <w:rPr>
          <w:szCs w:val="21"/>
        </w:rPr>
        <w:t>18)</w:t>
      </w:r>
      <w:r w:rsidR="00302147" w:rsidRPr="00302147">
        <w:rPr>
          <w:szCs w:val="21"/>
        </w:rPr>
        <w:t>.</w:t>
      </w:r>
    </w:p>
    <w:p w14:paraId="3BAD7526" w14:textId="4497EB13" w:rsidR="00341F0F" w:rsidRPr="00C702ED" w:rsidRDefault="00341F0F" w:rsidP="00C702ED">
      <w:pPr>
        <w:rPr>
          <w:szCs w:val="21"/>
        </w:rPr>
      </w:pPr>
      <w:r w:rsidRPr="00302147">
        <w:rPr>
          <w:szCs w:val="21"/>
        </w:rPr>
        <w:t>An Australian study has found that people with disability who undertook part or all of an apprenticeship or traineeship experienced higher levels of employment, wages and job durability than a similar cohort of people with disability who did not commence traineeships or apprenticeships but started a first job (Lewis et al., 2011</w:t>
      </w:r>
      <w:r w:rsidR="00BF3C82">
        <w:rPr>
          <w:szCs w:val="21"/>
        </w:rPr>
        <w:t>a</w:t>
      </w:r>
      <w:r w:rsidRPr="00302147">
        <w:rPr>
          <w:szCs w:val="21"/>
        </w:rPr>
        <w:t>).</w:t>
      </w:r>
      <w:r w:rsidRPr="00C702ED">
        <w:rPr>
          <w:szCs w:val="21"/>
        </w:rPr>
        <w:t xml:space="preserve"> </w:t>
      </w:r>
    </w:p>
    <w:p w14:paraId="08740DC5" w14:textId="2AD372B0" w:rsidR="00341F0F" w:rsidRPr="00C702ED" w:rsidRDefault="00341F0F" w:rsidP="00C702ED">
      <w:pPr>
        <w:rPr>
          <w:szCs w:val="21"/>
        </w:rPr>
      </w:pPr>
      <w:r w:rsidRPr="00C702ED">
        <w:rPr>
          <w:szCs w:val="21"/>
        </w:rPr>
        <w:t xml:space="preserve">It is not only vocational skills that are able to be built using a place-then-train approach. Evidence from school to work transition programs has also shown that the opportunity to engage in direct, hands on, work placement experience while in secondary school also builds a range of work-related, </w:t>
      </w:r>
      <w:proofErr w:type="spellStart"/>
      <w:r w:rsidRPr="00C702ED">
        <w:rPr>
          <w:szCs w:val="21"/>
        </w:rPr>
        <w:t>non vocational</w:t>
      </w:r>
      <w:proofErr w:type="spellEnd"/>
      <w:r w:rsidRPr="00C702ED">
        <w:rPr>
          <w:szCs w:val="21"/>
        </w:rPr>
        <w:t xml:space="preserve"> skills, or ‘soft skills’, such as greeting co-workers and workplace communication, that are a factor in gaining open employment and to being successful once in the workplace (</w:t>
      </w:r>
      <w:proofErr w:type="spellStart"/>
      <w:r w:rsidRPr="00C702ED">
        <w:rPr>
          <w:szCs w:val="21"/>
        </w:rPr>
        <w:t>Wehman</w:t>
      </w:r>
      <w:proofErr w:type="spellEnd"/>
      <w:r w:rsidRPr="00C702ED">
        <w:rPr>
          <w:szCs w:val="21"/>
        </w:rPr>
        <w:t xml:space="preserve"> et al.</w:t>
      </w:r>
      <w:r w:rsidR="00630692" w:rsidRPr="00C702ED">
        <w:rPr>
          <w:szCs w:val="21"/>
        </w:rPr>
        <w:t>,</w:t>
      </w:r>
      <w:r w:rsidRPr="00C702ED">
        <w:rPr>
          <w:szCs w:val="21"/>
        </w:rPr>
        <w:t xml:space="preserve"> 2018).</w:t>
      </w:r>
    </w:p>
    <w:p w14:paraId="674105AC" w14:textId="77777777" w:rsidR="00341F0F" w:rsidRDefault="00341F0F" w:rsidP="00CE427B">
      <w:pPr>
        <w:pStyle w:val="Heading2"/>
      </w:pPr>
      <w:bookmarkStart w:id="99" w:name="_Toc49417926"/>
      <w:r>
        <w:t>Ingredients to support work-based training</w:t>
      </w:r>
      <w:bookmarkEnd w:id="99"/>
    </w:p>
    <w:p w14:paraId="44837FC9" w14:textId="77777777" w:rsidR="00341F0F" w:rsidRPr="00C702ED" w:rsidRDefault="00341F0F" w:rsidP="00C702ED">
      <w:pPr>
        <w:rPr>
          <w:szCs w:val="21"/>
        </w:rPr>
      </w:pPr>
      <w:r w:rsidRPr="00C702ED">
        <w:rPr>
          <w:szCs w:val="21"/>
        </w:rPr>
        <w:t>A small set of Australian research has identified a range of ingredients that support successful work-based training models. Ingredients include:</w:t>
      </w:r>
    </w:p>
    <w:p w14:paraId="03CA15DE" w14:textId="61898FCC" w:rsidR="00341F0F" w:rsidRPr="00C702ED" w:rsidRDefault="00341F0F" w:rsidP="00C702ED">
      <w:pPr>
        <w:pStyle w:val="ListParagraph"/>
        <w:numPr>
          <w:ilvl w:val="0"/>
          <w:numId w:val="33"/>
        </w:numPr>
        <w:spacing w:line="259" w:lineRule="auto"/>
        <w:rPr>
          <w:szCs w:val="21"/>
        </w:rPr>
      </w:pPr>
      <w:r w:rsidRPr="00C702ED">
        <w:rPr>
          <w:szCs w:val="21"/>
        </w:rPr>
        <w:t xml:space="preserve">Provide </w:t>
      </w:r>
      <w:r w:rsidR="006B15DC" w:rsidRPr="00C702ED">
        <w:rPr>
          <w:szCs w:val="21"/>
        </w:rPr>
        <w:t>“</w:t>
      </w:r>
      <w:r w:rsidRPr="00C702ED">
        <w:rPr>
          <w:szCs w:val="21"/>
        </w:rPr>
        <w:t>sufficient and appropriate support to adjust the inhibiting structures in the physical and social environment</w:t>
      </w:r>
      <w:r w:rsidR="006B15DC" w:rsidRPr="00C702ED">
        <w:rPr>
          <w:szCs w:val="21"/>
        </w:rPr>
        <w:t>”</w:t>
      </w:r>
      <w:r w:rsidRPr="00C702ED">
        <w:rPr>
          <w:szCs w:val="21"/>
        </w:rPr>
        <w:t xml:space="preserve"> </w:t>
      </w:r>
    </w:p>
    <w:p w14:paraId="7AB5A2F0" w14:textId="0E6A01EE" w:rsidR="00341F0F" w:rsidRPr="00C702ED" w:rsidRDefault="00341F0F" w:rsidP="00C702ED">
      <w:pPr>
        <w:pStyle w:val="ListParagraph"/>
        <w:numPr>
          <w:ilvl w:val="0"/>
          <w:numId w:val="33"/>
        </w:numPr>
        <w:spacing w:line="259" w:lineRule="auto"/>
        <w:rPr>
          <w:szCs w:val="21"/>
        </w:rPr>
      </w:pPr>
      <w:r w:rsidRPr="00C702ED">
        <w:rPr>
          <w:szCs w:val="21"/>
        </w:rPr>
        <w:t xml:space="preserve">Form </w:t>
      </w:r>
      <w:r w:rsidR="006B15DC" w:rsidRPr="00C702ED">
        <w:rPr>
          <w:szCs w:val="21"/>
        </w:rPr>
        <w:t>“</w:t>
      </w:r>
      <w:r w:rsidRPr="00C702ED">
        <w:rPr>
          <w:szCs w:val="21"/>
        </w:rPr>
        <w:t xml:space="preserve">partnerships with disability employment services, which </w:t>
      </w:r>
      <w:proofErr w:type="spellStart"/>
      <w:r w:rsidRPr="00C702ED">
        <w:rPr>
          <w:szCs w:val="21"/>
        </w:rPr>
        <w:t>specialise</w:t>
      </w:r>
      <w:proofErr w:type="spellEnd"/>
      <w:r w:rsidRPr="00C702ED">
        <w:rPr>
          <w:szCs w:val="21"/>
        </w:rPr>
        <w:t xml:space="preserve"> in providing on-the-job support for workers with disabilities</w:t>
      </w:r>
      <w:r w:rsidR="006B15DC" w:rsidRPr="00C702ED">
        <w:rPr>
          <w:szCs w:val="21"/>
        </w:rPr>
        <w:t>”</w:t>
      </w:r>
    </w:p>
    <w:p w14:paraId="2538C15B" w14:textId="7D31E0DD" w:rsidR="00341F0F" w:rsidRPr="00C702ED" w:rsidRDefault="00341F0F" w:rsidP="00C702ED">
      <w:pPr>
        <w:pStyle w:val="ListParagraph"/>
        <w:numPr>
          <w:ilvl w:val="0"/>
          <w:numId w:val="33"/>
        </w:numPr>
        <w:spacing w:line="276" w:lineRule="auto"/>
        <w:rPr>
          <w:szCs w:val="21"/>
        </w:rPr>
      </w:pPr>
      <w:r w:rsidRPr="00C702ED">
        <w:rPr>
          <w:szCs w:val="21"/>
        </w:rPr>
        <w:lastRenderedPageBreak/>
        <w:t xml:space="preserve">Form partnerships with </w:t>
      </w:r>
      <w:r w:rsidR="006B15DC" w:rsidRPr="00C702ED">
        <w:rPr>
          <w:szCs w:val="21"/>
        </w:rPr>
        <w:t>“</w:t>
      </w:r>
      <w:r w:rsidRPr="00C702ED">
        <w:rPr>
          <w:szCs w:val="21"/>
        </w:rPr>
        <w:t xml:space="preserve">group training </w:t>
      </w:r>
      <w:proofErr w:type="spellStart"/>
      <w:r w:rsidRPr="00C702ED">
        <w:rPr>
          <w:szCs w:val="21"/>
        </w:rPr>
        <w:t>organisations</w:t>
      </w:r>
      <w:proofErr w:type="spellEnd"/>
      <w:r w:rsidRPr="00C702ED">
        <w:rPr>
          <w:szCs w:val="21"/>
        </w:rPr>
        <w:t xml:space="preserve">, which </w:t>
      </w:r>
      <w:proofErr w:type="spellStart"/>
      <w:r w:rsidRPr="00C702ED">
        <w:rPr>
          <w:szCs w:val="21"/>
        </w:rPr>
        <w:t>specialise</w:t>
      </w:r>
      <w:proofErr w:type="spellEnd"/>
      <w:r w:rsidRPr="00C702ED">
        <w:rPr>
          <w:szCs w:val="21"/>
        </w:rPr>
        <w:t xml:space="preserve"> in employing apprentices and trainees through host employers</w:t>
      </w:r>
      <w:r w:rsidR="006B15DC" w:rsidRPr="00C702ED">
        <w:rPr>
          <w:szCs w:val="21"/>
        </w:rPr>
        <w:t>”</w:t>
      </w:r>
      <w:r w:rsidRPr="00C702ED">
        <w:rPr>
          <w:szCs w:val="21"/>
        </w:rPr>
        <w:t xml:space="preserve"> (Cocks &amp;</w:t>
      </w:r>
      <w:r w:rsidR="00E219A5" w:rsidRPr="00C702ED">
        <w:rPr>
          <w:szCs w:val="21"/>
        </w:rPr>
        <w:t xml:space="preserve"> </w:t>
      </w:r>
      <w:proofErr w:type="spellStart"/>
      <w:r w:rsidRPr="00C702ED">
        <w:rPr>
          <w:szCs w:val="21"/>
        </w:rPr>
        <w:t>Thorensen</w:t>
      </w:r>
      <w:proofErr w:type="spellEnd"/>
      <w:r w:rsidRPr="00C702ED">
        <w:rPr>
          <w:szCs w:val="21"/>
        </w:rPr>
        <w:t>, 2013, p.</w:t>
      </w:r>
      <w:r w:rsidR="00E219A5" w:rsidRPr="00C702ED">
        <w:rPr>
          <w:szCs w:val="21"/>
        </w:rPr>
        <w:t xml:space="preserve"> </w:t>
      </w:r>
      <w:r w:rsidRPr="00C702ED">
        <w:rPr>
          <w:szCs w:val="21"/>
        </w:rPr>
        <w:t>12).</w:t>
      </w:r>
    </w:p>
    <w:p w14:paraId="0D5E96C1" w14:textId="77777777" w:rsidR="00341F0F" w:rsidRPr="00C702ED" w:rsidRDefault="00341F0F" w:rsidP="00C702ED">
      <w:pPr>
        <w:spacing w:line="276" w:lineRule="auto"/>
        <w:rPr>
          <w:szCs w:val="21"/>
        </w:rPr>
      </w:pPr>
      <w:r w:rsidRPr="00C702ED">
        <w:rPr>
          <w:szCs w:val="21"/>
        </w:rPr>
        <w:t>The most significant ingredient to success has been identified as:</w:t>
      </w:r>
    </w:p>
    <w:p w14:paraId="00CA23AA" w14:textId="4A616F6F" w:rsidR="00341F0F" w:rsidRPr="00C702ED" w:rsidRDefault="00341F0F" w:rsidP="00C702ED">
      <w:pPr>
        <w:spacing w:line="276" w:lineRule="auto"/>
        <w:ind w:left="360" w:right="360"/>
        <w:rPr>
          <w:szCs w:val="21"/>
        </w:rPr>
      </w:pPr>
      <w:r w:rsidRPr="00C702ED">
        <w:rPr>
          <w:szCs w:val="21"/>
        </w:rPr>
        <w:t xml:space="preserve">supportive and understanding individuals or agencies willing to provide flexible, </w:t>
      </w:r>
      <w:proofErr w:type="spellStart"/>
      <w:r w:rsidRPr="00C702ED">
        <w:rPr>
          <w:szCs w:val="21"/>
        </w:rPr>
        <w:t>individualised</w:t>
      </w:r>
      <w:proofErr w:type="spellEnd"/>
      <w:r w:rsidRPr="00C702ED">
        <w:rPr>
          <w:szCs w:val="21"/>
        </w:rPr>
        <w:t xml:space="preserve"> support tailored to the individuals’ needs… [such as] emotional and practical support …[in] training and workplace environments. Support came from friends and family, supervisors and co-workers, disability employment services, group training </w:t>
      </w:r>
      <w:proofErr w:type="spellStart"/>
      <w:r w:rsidRPr="00C702ED">
        <w:rPr>
          <w:szCs w:val="21"/>
        </w:rPr>
        <w:t>organisations</w:t>
      </w:r>
      <w:proofErr w:type="spellEnd"/>
      <w:r w:rsidRPr="00C702ED">
        <w:rPr>
          <w:szCs w:val="21"/>
        </w:rPr>
        <w:t xml:space="preserve"> and other employers/host employers, TAFE or other registered training </w:t>
      </w:r>
      <w:proofErr w:type="spellStart"/>
      <w:r w:rsidRPr="00C702ED">
        <w:rPr>
          <w:szCs w:val="21"/>
        </w:rPr>
        <w:t>organisations</w:t>
      </w:r>
      <w:proofErr w:type="spellEnd"/>
      <w:r w:rsidRPr="00C702ED">
        <w:rPr>
          <w:szCs w:val="21"/>
        </w:rPr>
        <w:t xml:space="preserve"> and disability liaison officers in TAFE or other </w:t>
      </w:r>
      <w:proofErr w:type="spellStart"/>
      <w:r w:rsidRPr="00C702ED">
        <w:rPr>
          <w:szCs w:val="21"/>
        </w:rPr>
        <w:t>organisations</w:t>
      </w:r>
      <w:proofErr w:type="spellEnd"/>
      <w:r w:rsidRPr="00C702ED">
        <w:rPr>
          <w:szCs w:val="21"/>
        </w:rPr>
        <w:t>, assessors and trainers (Cocks &amp;</w:t>
      </w:r>
      <w:proofErr w:type="spellStart"/>
      <w:r w:rsidRPr="00C702ED">
        <w:rPr>
          <w:szCs w:val="21"/>
        </w:rPr>
        <w:t>Thorensen</w:t>
      </w:r>
      <w:proofErr w:type="spellEnd"/>
      <w:r w:rsidRPr="00C702ED">
        <w:rPr>
          <w:szCs w:val="21"/>
        </w:rPr>
        <w:t>, 2013, p.</w:t>
      </w:r>
      <w:r w:rsidR="00E219A5" w:rsidRPr="00C702ED">
        <w:rPr>
          <w:szCs w:val="21"/>
        </w:rPr>
        <w:t xml:space="preserve"> </w:t>
      </w:r>
      <w:r w:rsidRPr="00C702ED">
        <w:rPr>
          <w:szCs w:val="21"/>
        </w:rPr>
        <w:t>12)</w:t>
      </w:r>
      <w:r w:rsidR="00302147">
        <w:rPr>
          <w:szCs w:val="21"/>
        </w:rPr>
        <w:t>.</w:t>
      </w:r>
    </w:p>
    <w:p w14:paraId="2141D7D4" w14:textId="77777777" w:rsidR="00341F0F" w:rsidRPr="00141588" w:rsidRDefault="00341F0F" w:rsidP="00CE427B">
      <w:pPr>
        <w:spacing w:line="276" w:lineRule="auto"/>
        <w:ind w:left="360" w:right="360"/>
      </w:pPr>
    </w:p>
    <w:p w14:paraId="65C6D10D" w14:textId="77777777" w:rsidR="00341F0F" w:rsidRPr="00536067" w:rsidRDefault="00341F0F" w:rsidP="00CE427B">
      <w:pPr>
        <w:pStyle w:val="Heading2"/>
        <w:spacing w:before="0" w:after="120" w:line="276" w:lineRule="auto"/>
      </w:pPr>
      <w:bookmarkStart w:id="100" w:name="_Toc49417927"/>
      <w:r>
        <w:t>Common work-based training models</w:t>
      </w:r>
      <w:bookmarkEnd w:id="100"/>
    </w:p>
    <w:p w14:paraId="174EC495" w14:textId="09F32148" w:rsidR="00341F0F" w:rsidRPr="00C702ED" w:rsidRDefault="00341F0F" w:rsidP="00C702ED">
      <w:pPr>
        <w:pStyle w:val="Number1"/>
        <w:numPr>
          <w:ilvl w:val="0"/>
          <w:numId w:val="34"/>
        </w:numPr>
        <w:spacing w:before="120"/>
        <w:ind w:left="426"/>
      </w:pPr>
      <w:r w:rsidRPr="00C702ED">
        <w:t>School to work transition programs</w:t>
      </w:r>
    </w:p>
    <w:p w14:paraId="43D83370" w14:textId="62122CA1" w:rsidR="00341F0F" w:rsidRPr="00C702ED" w:rsidRDefault="00341F0F" w:rsidP="00C702ED">
      <w:pPr>
        <w:pStyle w:val="Number2"/>
        <w:numPr>
          <w:ilvl w:val="0"/>
          <w:numId w:val="35"/>
        </w:numPr>
        <w:spacing w:before="120"/>
        <w:rPr>
          <w:szCs w:val="21"/>
        </w:rPr>
      </w:pPr>
      <w:r w:rsidRPr="00C702ED">
        <w:rPr>
          <w:szCs w:val="21"/>
        </w:rPr>
        <w:t xml:space="preserve">Australian School Based Apprenticeship and Traineeship (known as SBAT, </w:t>
      </w:r>
      <w:proofErr w:type="spellStart"/>
      <w:r w:rsidRPr="00C702ED">
        <w:rPr>
          <w:szCs w:val="21"/>
        </w:rPr>
        <w:t>AS</w:t>
      </w:r>
      <w:r w:rsidR="00FA0896" w:rsidRPr="00C702ED">
        <w:rPr>
          <w:szCs w:val="21"/>
        </w:rPr>
        <w:t>b</w:t>
      </w:r>
      <w:r w:rsidRPr="00C702ED">
        <w:rPr>
          <w:szCs w:val="21"/>
        </w:rPr>
        <w:t>AT</w:t>
      </w:r>
      <w:proofErr w:type="spellEnd"/>
      <w:r w:rsidRPr="00C702ED">
        <w:rPr>
          <w:szCs w:val="21"/>
        </w:rPr>
        <w:t xml:space="preserve"> or ASBA)</w:t>
      </w:r>
    </w:p>
    <w:p w14:paraId="583A2913" w14:textId="13221E68" w:rsidR="00341F0F" w:rsidRPr="00C702ED" w:rsidRDefault="00341F0F" w:rsidP="00C702ED">
      <w:pPr>
        <w:spacing w:line="276" w:lineRule="auto"/>
        <w:rPr>
          <w:szCs w:val="21"/>
        </w:rPr>
      </w:pPr>
      <w:proofErr w:type="spellStart"/>
      <w:r w:rsidRPr="00C702ED">
        <w:rPr>
          <w:szCs w:val="21"/>
        </w:rPr>
        <w:t>AS</w:t>
      </w:r>
      <w:r w:rsidR="00FA0896" w:rsidRPr="00C702ED">
        <w:rPr>
          <w:szCs w:val="21"/>
        </w:rPr>
        <w:t>b</w:t>
      </w:r>
      <w:r w:rsidRPr="00C702ED">
        <w:rPr>
          <w:szCs w:val="21"/>
        </w:rPr>
        <w:t>ATs</w:t>
      </w:r>
      <w:proofErr w:type="spellEnd"/>
      <w:r w:rsidRPr="00C702ED">
        <w:rPr>
          <w:szCs w:val="21"/>
        </w:rPr>
        <w:t xml:space="preserve"> enable young people to undertake part time paid employment and training in an apprenticeship or traineeship while they are still in secondary school (usually years 11 and 12). There is evidence to suggest that people with disability complete apprenticeships and traineeships at only slightly lower rates than their peers without disability (Ball &amp; John, 2005; Lewis et al.</w:t>
      </w:r>
      <w:r w:rsidR="00302147">
        <w:rPr>
          <w:szCs w:val="21"/>
        </w:rPr>
        <w:t>,</w:t>
      </w:r>
      <w:r w:rsidRPr="00C702ED">
        <w:rPr>
          <w:szCs w:val="21"/>
        </w:rPr>
        <w:t xml:space="preserve"> 2011</w:t>
      </w:r>
      <w:r w:rsidR="00BF3C82">
        <w:rPr>
          <w:szCs w:val="21"/>
        </w:rPr>
        <w:t>a</w:t>
      </w:r>
      <w:r w:rsidRPr="00C702ED">
        <w:rPr>
          <w:szCs w:val="21"/>
        </w:rPr>
        <w:t xml:space="preserve">), though it should be noted that completion rates overall are not good (Cocks &amp; </w:t>
      </w:r>
      <w:proofErr w:type="spellStart"/>
      <w:r w:rsidRPr="00C702ED">
        <w:rPr>
          <w:szCs w:val="21"/>
        </w:rPr>
        <w:t>Thorensen</w:t>
      </w:r>
      <w:proofErr w:type="spellEnd"/>
      <w:r w:rsidRPr="00C702ED">
        <w:rPr>
          <w:szCs w:val="21"/>
        </w:rPr>
        <w:t>, 2013).</w:t>
      </w:r>
    </w:p>
    <w:p w14:paraId="3FB2D2B8" w14:textId="46640D33" w:rsidR="00F95489" w:rsidRPr="00C702ED" w:rsidRDefault="00341F0F" w:rsidP="00C702ED">
      <w:pPr>
        <w:spacing w:line="276" w:lineRule="auto"/>
        <w:ind w:left="360"/>
        <w:rPr>
          <w:szCs w:val="21"/>
        </w:rPr>
      </w:pPr>
      <w:r w:rsidRPr="00C702ED">
        <w:rPr>
          <w:szCs w:val="21"/>
        </w:rPr>
        <w:t>Apprenticeships and traineeships have been shown to be beneficial pathways for people with disabilities, particularly for people with intellectual and learning disabilities (Lewis</w:t>
      </w:r>
      <w:r w:rsidR="00DF6092" w:rsidRPr="00C702ED">
        <w:rPr>
          <w:szCs w:val="21"/>
        </w:rPr>
        <w:t xml:space="preserve"> et al.</w:t>
      </w:r>
      <w:r w:rsidR="00302147">
        <w:rPr>
          <w:szCs w:val="21"/>
        </w:rPr>
        <w:t>,</w:t>
      </w:r>
      <w:r w:rsidRPr="00C702ED">
        <w:rPr>
          <w:szCs w:val="21"/>
        </w:rPr>
        <w:t xml:space="preserve"> 2011</w:t>
      </w:r>
      <w:r w:rsidR="00BF3C82">
        <w:rPr>
          <w:szCs w:val="21"/>
        </w:rPr>
        <w:t>a, 2011b</w:t>
      </w:r>
      <w:r w:rsidR="00302147">
        <w:rPr>
          <w:szCs w:val="21"/>
        </w:rPr>
        <w:t>)</w:t>
      </w:r>
      <w:r w:rsidRPr="00C702ED">
        <w:rPr>
          <w:szCs w:val="21"/>
        </w:rPr>
        <w:t xml:space="preserve"> for obtaining qualifications and employment as they combine training and education with practical work (Cocks &amp; </w:t>
      </w:r>
      <w:proofErr w:type="spellStart"/>
      <w:r w:rsidRPr="00C702ED">
        <w:rPr>
          <w:szCs w:val="21"/>
        </w:rPr>
        <w:t>Thorensen</w:t>
      </w:r>
      <w:proofErr w:type="spellEnd"/>
      <w:r w:rsidRPr="00C702ED">
        <w:rPr>
          <w:szCs w:val="21"/>
        </w:rPr>
        <w:t>, 2013, p.</w:t>
      </w:r>
      <w:r w:rsidR="00F85C61" w:rsidRPr="00C702ED">
        <w:rPr>
          <w:szCs w:val="21"/>
        </w:rPr>
        <w:t xml:space="preserve"> </w:t>
      </w:r>
      <w:r w:rsidRPr="00C702ED">
        <w:rPr>
          <w:szCs w:val="21"/>
        </w:rPr>
        <w:t>7)</w:t>
      </w:r>
      <w:r w:rsidR="00182CCB">
        <w:rPr>
          <w:szCs w:val="21"/>
        </w:rPr>
        <w:t>.</w:t>
      </w:r>
    </w:p>
    <w:p w14:paraId="153A5787" w14:textId="4DE21C40" w:rsidR="00341F0F" w:rsidRPr="00C702ED" w:rsidRDefault="00341F0F" w:rsidP="00C702ED">
      <w:pPr>
        <w:pStyle w:val="Number2"/>
        <w:numPr>
          <w:ilvl w:val="0"/>
          <w:numId w:val="35"/>
        </w:numPr>
        <w:spacing w:before="120"/>
        <w:ind w:left="714" w:hanging="357"/>
        <w:rPr>
          <w:szCs w:val="21"/>
        </w:rPr>
      </w:pPr>
      <w:r w:rsidRPr="00C702ED">
        <w:rPr>
          <w:szCs w:val="21"/>
        </w:rPr>
        <w:t xml:space="preserve">Ticket to Work </w:t>
      </w:r>
    </w:p>
    <w:p w14:paraId="7A3CA204" w14:textId="77777777" w:rsidR="00341F0F" w:rsidRPr="00C702ED" w:rsidRDefault="00341F0F" w:rsidP="00C702ED">
      <w:pPr>
        <w:spacing w:line="276" w:lineRule="auto"/>
        <w:rPr>
          <w:szCs w:val="21"/>
        </w:rPr>
      </w:pPr>
      <w:r w:rsidRPr="00C702ED">
        <w:rPr>
          <w:szCs w:val="21"/>
        </w:rPr>
        <w:t>Ticket to Work is a national program of the National Disability Services, Australia, that supports networks of partners in local regions who work to provide opportunities for young people with disability to build employability while they are at school (mainstream or special schools) (ARTD Consultants, 2019). Partners include schools, Disability Employment Services, TAFE/RTOs, employers, disability services and others, who</w:t>
      </w:r>
    </w:p>
    <w:p w14:paraId="03207AB4" w14:textId="33433C8B" w:rsidR="00341F0F" w:rsidRPr="00C702ED" w:rsidRDefault="00341F0F" w:rsidP="00C702ED">
      <w:pPr>
        <w:spacing w:line="276" w:lineRule="auto"/>
        <w:ind w:left="360"/>
        <w:rPr>
          <w:szCs w:val="21"/>
        </w:rPr>
      </w:pPr>
      <w:r w:rsidRPr="00C702ED">
        <w:rPr>
          <w:szCs w:val="21"/>
        </w:rPr>
        <w:t>work together to provide young people with access to career development, workplace preparation, work experience, vocational skills and Australian School Based Apprenticeships and Traineeships (</w:t>
      </w:r>
      <w:proofErr w:type="spellStart"/>
      <w:r w:rsidRPr="00C702ED">
        <w:rPr>
          <w:szCs w:val="21"/>
        </w:rPr>
        <w:t>ASbATs</w:t>
      </w:r>
      <w:proofErr w:type="spellEnd"/>
      <w:r w:rsidRPr="00C702ED">
        <w:rPr>
          <w:szCs w:val="21"/>
        </w:rPr>
        <w:t>). Essentially each Local Network supports young people with disability to participate in the same ‘typical’ transition to employment activities that their non-disabled peers generally partake in (Wakeford &amp; Waugh, 2014, p. 6)</w:t>
      </w:r>
      <w:r w:rsidR="00182CCB">
        <w:rPr>
          <w:szCs w:val="21"/>
        </w:rPr>
        <w:t>.</w:t>
      </w:r>
    </w:p>
    <w:p w14:paraId="100FF9A0" w14:textId="77777777" w:rsidR="00341F0F" w:rsidRPr="00C702ED" w:rsidRDefault="00341F0F" w:rsidP="00C702ED">
      <w:pPr>
        <w:spacing w:line="276" w:lineRule="auto"/>
        <w:rPr>
          <w:szCs w:val="21"/>
        </w:rPr>
      </w:pPr>
      <w:r w:rsidRPr="00C702ED">
        <w:rPr>
          <w:szCs w:val="21"/>
        </w:rPr>
        <w:t>Ticket to Work includes a range of career and employment development activities conducted in school:</w:t>
      </w:r>
    </w:p>
    <w:p w14:paraId="4FE82560" w14:textId="77777777" w:rsidR="00341F0F" w:rsidRPr="00C702ED" w:rsidRDefault="00341F0F" w:rsidP="00C702ED">
      <w:pPr>
        <w:pStyle w:val="ListParagraph"/>
        <w:numPr>
          <w:ilvl w:val="0"/>
          <w:numId w:val="22"/>
        </w:numPr>
        <w:spacing w:line="276" w:lineRule="auto"/>
        <w:rPr>
          <w:szCs w:val="21"/>
        </w:rPr>
      </w:pPr>
      <w:r w:rsidRPr="00C702ED">
        <w:rPr>
          <w:szCs w:val="21"/>
        </w:rPr>
        <w:t>Vocational Education and Training at secondary school</w:t>
      </w:r>
    </w:p>
    <w:p w14:paraId="17EEB1D6" w14:textId="77777777" w:rsidR="00341F0F" w:rsidRPr="00C702ED" w:rsidRDefault="00341F0F" w:rsidP="00C702ED">
      <w:pPr>
        <w:pStyle w:val="ListParagraph"/>
        <w:numPr>
          <w:ilvl w:val="0"/>
          <w:numId w:val="22"/>
        </w:numPr>
        <w:spacing w:line="276" w:lineRule="auto"/>
        <w:rPr>
          <w:szCs w:val="21"/>
        </w:rPr>
      </w:pPr>
      <w:r w:rsidRPr="00C702ED">
        <w:rPr>
          <w:szCs w:val="21"/>
        </w:rPr>
        <w:t>Australian School based Apprenticeships and Traineeships (</w:t>
      </w:r>
      <w:proofErr w:type="spellStart"/>
      <w:r w:rsidRPr="00C702ED">
        <w:rPr>
          <w:szCs w:val="21"/>
        </w:rPr>
        <w:t>ASbAT</w:t>
      </w:r>
      <w:proofErr w:type="spellEnd"/>
      <w:r w:rsidRPr="00C702ED">
        <w:rPr>
          <w:szCs w:val="21"/>
        </w:rPr>
        <w:t>)</w:t>
      </w:r>
    </w:p>
    <w:p w14:paraId="3B29300A" w14:textId="77777777" w:rsidR="00341F0F" w:rsidRPr="00C702ED" w:rsidRDefault="00341F0F" w:rsidP="00C702ED">
      <w:pPr>
        <w:pStyle w:val="ListParagraph"/>
        <w:numPr>
          <w:ilvl w:val="0"/>
          <w:numId w:val="22"/>
        </w:numPr>
        <w:spacing w:line="276" w:lineRule="auto"/>
        <w:rPr>
          <w:szCs w:val="21"/>
        </w:rPr>
      </w:pPr>
      <w:r w:rsidRPr="00C702ED">
        <w:rPr>
          <w:szCs w:val="21"/>
        </w:rPr>
        <w:t>Work experience/placement</w:t>
      </w:r>
    </w:p>
    <w:p w14:paraId="3624CC8B" w14:textId="77777777" w:rsidR="00341F0F" w:rsidRPr="00C702ED" w:rsidRDefault="00341F0F" w:rsidP="00C702ED">
      <w:pPr>
        <w:pStyle w:val="ListParagraph"/>
        <w:numPr>
          <w:ilvl w:val="0"/>
          <w:numId w:val="22"/>
        </w:numPr>
        <w:spacing w:line="276" w:lineRule="auto"/>
        <w:rPr>
          <w:szCs w:val="21"/>
        </w:rPr>
      </w:pPr>
      <w:r w:rsidRPr="00C702ED">
        <w:rPr>
          <w:szCs w:val="21"/>
        </w:rPr>
        <w:t xml:space="preserve">Career development through </w:t>
      </w:r>
      <w:proofErr w:type="spellStart"/>
      <w:r w:rsidRPr="00C702ED">
        <w:rPr>
          <w:szCs w:val="21"/>
        </w:rPr>
        <w:t>customised</w:t>
      </w:r>
      <w:proofErr w:type="spellEnd"/>
      <w:r w:rsidRPr="00C702ED">
        <w:rPr>
          <w:szCs w:val="21"/>
        </w:rPr>
        <w:t xml:space="preserve"> employment techniques</w:t>
      </w:r>
    </w:p>
    <w:p w14:paraId="3CC7D354" w14:textId="77777777" w:rsidR="00341F0F" w:rsidRPr="00C702ED" w:rsidRDefault="00341F0F" w:rsidP="00C702ED">
      <w:pPr>
        <w:pStyle w:val="ListParagraph"/>
        <w:numPr>
          <w:ilvl w:val="0"/>
          <w:numId w:val="22"/>
        </w:numPr>
        <w:spacing w:line="276" w:lineRule="auto"/>
        <w:rPr>
          <w:szCs w:val="21"/>
        </w:rPr>
      </w:pPr>
      <w:r w:rsidRPr="00C702ED">
        <w:rPr>
          <w:szCs w:val="21"/>
        </w:rPr>
        <w:t xml:space="preserve">After </w:t>
      </w:r>
      <w:proofErr w:type="gramStart"/>
      <w:r w:rsidRPr="00C702ED">
        <w:rPr>
          <w:szCs w:val="21"/>
        </w:rPr>
        <w:t>school work</w:t>
      </w:r>
      <w:proofErr w:type="gramEnd"/>
    </w:p>
    <w:p w14:paraId="59030765" w14:textId="77777777" w:rsidR="00341F0F" w:rsidRPr="00C702ED" w:rsidRDefault="00341F0F" w:rsidP="00C702ED">
      <w:pPr>
        <w:pStyle w:val="ListParagraph"/>
        <w:numPr>
          <w:ilvl w:val="0"/>
          <w:numId w:val="22"/>
        </w:numPr>
        <w:spacing w:line="276" w:lineRule="auto"/>
        <w:rPr>
          <w:szCs w:val="21"/>
        </w:rPr>
      </w:pPr>
      <w:r w:rsidRPr="00C702ED">
        <w:rPr>
          <w:szCs w:val="21"/>
        </w:rPr>
        <w:t>Self-employment during secondary school (microbusiness) (ARTD Consultants, 2019, p. 8).</w:t>
      </w:r>
    </w:p>
    <w:p w14:paraId="643F8B46" w14:textId="6E5E95D7" w:rsidR="00341F0F" w:rsidRPr="00C702ED" w:rsidRDefault="00341F0F" w:rsidP="00C702ED">
      <w:pPr>
        <w:spacing w:line="276" w:lineRule="auto"/>
        <w:rPr>
          <w:szCs w:val="21"/>
        </w:rPr>
      </w:pPr>
      <w:r w:rsidRPr="00C702ED">
        <w:rPr>
          <w:szCs w:val="21"/>
        </w:rPr>
        <w:lastRenderedPageBreak/>
        <w:t xml:space="preserve">Ticket to Work participants (around 53% of those being young people with intellectual disability) have been supported to undertake the majority of their vocational training ‘on the job’ as much as possible </w:t>
      </w:r>
      <w:r w:rsidR="00F504AD" w:rsidRPr="00C702ED">
        <w:rPr>
          <w:szCs w:val="21"/>
        </w:rPr>
        <w:t>“</w:t>
      </w:r>
      <w:r w:rsidRPr="00C702ED">
        <w:rPr>
          <w:rFonts w:cs="Arial"/>
          <w:szCs w:val="21"/>
        </w:rPr>
        <w:t>demonstrating competency by actually undertaking tasks in the workplace setting</w:t>
      </w:r>
      <w:r w:rsidR="00F504AD" w:rsidRPr="00C702ED">
        <w:rPr>
          <w:rFonts w:cs="Arial"/>
          <w:szCs w:val="21"/>
        </w:rPr>
        <w:t xml:space="preserve">” </w:t>
      </w:r>
      <w:r w:rsidRPr="00C702ED">
        <w:rPr>
          <w:rFonts w:cs="Arial"/>
          <w:szCs w:val="21"/>
        </w:rPr>
        <w:t>which leads to better employment outcomes for young people with intellectual disability (Wakeford &amp; Waugh, 2014, p.</w:t>
      </w:r>
      <w:r w:rsidR="00D47D14" w:rsidRPr="00C702ED">
        <w:rPr>
          <w:rFonts w:cs="Arial"/>
          <w:szCs w:val="21"/>
        </w:rPr>
        <w:t xml:space="preserve"> </w:t>
      </w:r>
      <w:r w:rsidRPr="00C702ED">
        <w:rPr>
          <w:rFonts w:cs="Arial"/>
          <w:szCs w:val="21"/>
        </w:rPr>
        <w:t>23).</w:t>
      </w:r>
    </w:p>
    <w:p w14:paraId="74CEF79C" w14:textId="22D829BF" w:rsidR="00341F0F" w:rsidRPr="00C702ED" w:rsidRDefault="00341F0F" w:rsidP="00C702ED">
      <w:pPr>
        <w:spacing w:line="276" w:lineRule="auto"/>
        <w:rPr>
          <w:szCs w:val="21"/>
        </w:rPr>
      </w:pPr>
      <w:r w:rsidRPr="00C702ED">
        <w:rPr>
          <w:szCs w:val="21"/>
        </w:rPr>
        <w:t xml:space="preserve">Two evaluations of Ticket to Work have evidenced that it is a successful model, with participants being more likely to be employed (64%) than the comparison group (33%), as well as be more likely to complete year 12, undertake </w:t>
      </w:r>
      <w:r w:rsidR="00A66421" w:rsidRPr="00C702ED">
        <w:rPr>
          <w:szCs w:val="21"/>
        </w:rPr>
        <w:t>post-secondary</w:t>
      </w:r>
      <w:r w:rsidRPr="00C702ED">
        <w:rPr>
          <w:szCs w:val="21"/>
        </w:rPr>
        <w:t xml:space="preserve"> education, be more socially active and more independent (ARTD Consultants, 2019).</w:t>
      </w:r>
    </w:p>
    <w:p w14:paraId="42FE0D30" w14:textId="13AB67D3" w:rsidR="00341F0F" w:rsidRPr="00C702ED" w:rsidRDefault="00341F0F" w:rsidP="00C702ED">
      <w:pPr>
        <w:pStyle w:val="Number1"/>
        <w:numPr>
          <w:ilvl w:val="0"/>
          <w:numId w:val="34"/>
        </w:numPr>
        <w:spacing w:before="120"/>
        <w:ind w:left="426"/>
      </w:pPr>
      <w:r w:rsidRPr="00C702ED">
        <w:t>Internships</w:t>
      </w:r>
    </w:p>
    <w:p w14:paraId="274CCB79" w14:textId="7D53962D" w:rsidR="00341F0F" w:rsidRPr="00C702ED" w:rsidRDefault="00341F0F" w:rsidP="00C702ED">
      <w:pPr>
        <w:spacing w:line="276" w:lineRule="auto"/>
        <w:rPr>
          <w:szCs w:val="21"/>
        </w:rPr>
      </w:pPr>
      <w:r w:rsidRPr="00C702ED">
        <w:rPr>
          <w:szCs w:val="21"/>
        </w:rPr>
        <w:t xml:space="preserve">Internship models that provide </w:t>
      </w:r>
      <w:proofErr w:type="spellStart"/>
      <w:r w:rsidRPr="00C702ED">
        <w:rPr>
          <w:szCs w:val="21"/>
        </w:rPr>
        <w:t>speciali</w:t>
      </w:r>
      <w:r w:rsidR="00717894" w:rsidRPr="00C702ED">
        <w:rPr>
          <w:szCs w:val="21"/>
        </w:rPr>
        <w:t>s</w:t>
      </w:r>
      <w:r w:rsidRPr="00C702ED">
        <w:rPr>
          <w:szCs w:val="21"/>
        </w:rPr>
        <w:t>ed</w:t>
      </w:r>
      <w:proofErr w:type="spellEnd"/>
      <w:r w:rsidRPr="00C702ED">
        <w:rPr>
          <w:szCs w:val="21"/>
        </w:rPr>
        <w:t xml:space="preserve"> support and skill development for people with intellectual disability have been shown to lead to open employment (</w:t>
      </w:r>
      <w:proofErr w:type="spellStart"/>
      <w:r w:rsidRPr="00C702ED">
        <w:rPr>
          <w:szCs w:val="21"/>
        </w:rPr>
        <w:t>Wehman</w:t>
      </w:r>
      <w:proofErr w:type="spellEnd"/>
      <w:r w:rsidRPr="00C702ED">
        <w:rPr>
          <w:szCs w:val="21"/>
        </w:rPr>
        <w:t xml:space="preserve"> et al.</w:t>
      </w:r>
      <w:r w:rsidR="00630692" w:rsidRPr="00C702ED">
        <w:rPr>
          <w:szCs w:val="21"/>
        </w:rPr>
        <w:t>,</w:t>
      </w:r>
      <w:r w:rsidRPr="00C702ED">
        <w:rPr>
          <w:szCs w:val="21"/>
        </w:rPr>
        <w:t xml:space="preserve"> 2018). There are several internship models in Australia, that have evidenced outcomes for people with intellectual disability. Some are described below.</w:t>
      </w:r>
    </w:p>
    <w:p w14:paraId="48269D0D" w14:textId="4AAF7D9A" w:rsidR="00341F0F" w:rsidRPr="00C702ED" w:rsidRDefault="00341F0F" w:rsidP="00C702ED">
      <w:pPr>
        <w:pStyle w:val="Number2"/>
        <w:numPr>
          <w:ilvl w:val="0"/>
          <w:numId w:val="37"/>
        </w:numPr>
        <w:spacing w:before="120"/>
        <w:ind w:left="709"/>
        <w:rPr>
          <w:szCs w:val="21"/>
        </w:rPr>
      </w:pPr>
      <w:r w:rsidRPr="00C702ED">
        <w:rPr>
          <w:szCs w:val="21"/>
        </w:rPr>
        <w:t xml:space="preserve">Project </w:t>
      </w:r>
      <w:r w:rsidR="00A66421" w:rsidRPr="00C702ED">
        <w:rPr>
          <w:szCs w:val="21"/>
        </w:rPr>
        <w:t>SEARCH</w:t>
      </w:r>
    </w:p>
    <w:p w14:paraId="6B279C73" w14:textId="371DE0A2" w:rsidR="00341F0F" w:rsidRPr="00C702ED" w:rsidRDefault="00CA52A4" w:rsidP="00C702ED">
      <w:pPr>
        <w:spacing w:line="276" w:lineRule="auto"/>
        <w:rPr>
          <w:szCs w:val="21"/>
        </w:rPr>
      </w:pPr>
      <w:r w:rsidRPr="00C702ED">
        <w:rPr>
          <w:szCs w:val="21"/>
        </w:rPr>
        <w:t>The Project SEARCH Transition-to-Work Program originated in the United States with a primary target of assisting young people with intellectual disability. It is a “business-led, one-year employment preparation program that takes place entirely at the workplace” (Project SEARCH, n.d.) combining classroom-based training (onsite in the workplace), career exploration, and a range of work experience through worksite rotations. In the original model in the US, students in the last year of secondary school rotate through three different internships of 10-12 weeks each. The focus is on intensive on-the-job training supplemented by classroom learning (</w:t>
      </w:r>
      <w:proofErr w:type="spellStart"/>
      <w:r w:rsidRPr="00C702ED">
        <w:rPr>
          <w:szCs w:val="21"/>
        </w:rPr>
        <w:t>Wehman</w:t>
      </w:r>
      <w:proofErr w:type="spellEnd"/>
      <w:r w:rsidRPr="00C702ED">
        <w:rPr>
          <w:szCs w:val="21"/>
        </w:rPr>
        <w:t xml:space="preserve"> et al., 2018). Project SEARCH has been widely evaluated and achieves on average employment rates of 83% (Christensen &amp; Richardson, 2017). The model has been extended to multiple countries including the UK, where it is part of a “supported internship” approach. These programs are “based mainly on employers' premises, with some time in college or a classroom in the workplace. Support throughout the study </w:t>
      </w:r>
      <w:proofErr w:type="spellStart"/>
      <w:r w:rsidRPr="00C702ED">
        <w:rPr>
          <w:szCs w:val="21"/>
        </w:rPr>
        <w:t>programme</w:t>
      </w:r>
      <w:proofErr w:type="spellEnd"/>
      <w:r w:rsidRPr="00C702ED">
        <w:rPr>
          <w:szCs w:val="21"/>
        </w:rPr>
        <w:t xml:space="preserve"> is provided to both the young person and the employer through a Job Coach” (Preparing for Adulthood, n.d.). Project SEARCH or ‘supported internships’ for young people with intellectual disability have been running in the UK for approximately 8 years with significant employment results (Brine &amp; Kiernan, n.d.). </w:t>
      </w:r>
    </w:p>
    <w:p w14:paraId="69A9E116" w14:textId="0866680B" w:rsidR="00341F0F" w:rsidRPr="00C702ED" w:rsidRDefault="00341F0F" w:rsidP="00C702ED">
      <w:pPr>
        <w:pStyle w:val="Number2"/>
        <w:numPr>
          <w:ilvl w:val="0"/>
          <w:numId w:val="37"/>
        </w:numPr>
        <w:spacing w:before="120"/>
        <w:ind w:left="709"/>
        <w:rPr>
          <w:szCs w:val="21"/>
        </w:rPr>
      </w:pPr>
      <w:r w:rsidRPr="00C702ED">
        <w:rPr>
          <w:szCs w:val="21"/>
        </w:rPr>
        <w:t xml:space="preserve">The Integrated Practical Placement (IPP) program </w:t>
      </w:r>
    </w:p>
    <w:p w14:paraId="5A7572BD" w14:textId="3006D697" w:rsidR="00341F0F" w:rsidRPr="00C702ED" w:rsidRDefault="00973463" w:rsidP="00C702ED">
      <w:pPr>
        <w:spacing w:line="276" w:lineRule="auto"/>
        <w:rPr>
          <w:szCs w:val="21"/>
        </w:rPr>
      </w:pPr>
      <w:r w:rsidRPr="00C702ED">
        <w:rPr>
          <w:szCs w:val="21"/>
        </w:rPr>
        <w:t xml:space="preserve">A similar program, adapting the Project Search model, has been run in Australia. The Integrated Practical Placement (IPP) program has been run twice by the Royal Children’s Hospital Melbourne and </w:t>
      </w:r>
      <w:proofErr w:type="spellStart"/>
      <w:r w:rsidRPr="00C702ED">
        <w:rPr>
          <w:szCs w:val="21"/>
        </w:rPr>
        <w:t>Holmesglen</w:t>
      </w:r>
      <w:proofErr w:type="spellEnd"/>
      <w:r w:rsidRPr="00C702ED">
        <w:rPr>
          <w:szCs w:val="21"/>
        </w:rPr>
        <w:t xml:space="preserve"> (TAFE) in 2018 and 2019 for 10-12 students with ‘learning disability’ undertaking Certificate 1 in Work Education (WISE Employment, n.d.).  Students completed three nine-week placements within the hospital during the year including in the areas of human resources, medical records, allied health, volunteer and family services, the early learning </w:t>
      </w:r>
      <w:proofErr w:type="spellStart"/>
      <w:r w:rsidRPr="00C702ED">
        <w:rPr>
          <w:szCs w:val="21"/>
        </w:rPr>
        <w:t>centre</w:t>
      </w:r>
      <w:proofErr w:type="spellEnd"/>
      <w:r w:rsidRPr="00C702ED">
        <w:rPr>
          <w:szCs w:val="21"/>
        </w:rPr>
        <w:t>, kitchen, mailroom and equipment departments (</w:t>
      </w:r>
      <w:proofErr w:type="spellStart"/>
      <w:r w:rsidRPr="00C702ED">
        <w:rPr>
          <w:szCs w:val="21"/>
        </w:rPr>
        <w:t>Holmesglen</w:t>
      </w:r>
      <w:proofErr w:type="spellEnd"/>
      <w:r w:rsidRPr="00C702ED">
        <w:rPr>
          <w:szCs w:val="21"/>
        </w:rPr>
        <w:t>, n.d.). An independent evaluation found that 80% of students of IPP attained paid employment or paid traineeships compared to 35% who completed the Certificate in the usual TAFE setting without being part of the IPP program. IPP participants also experienced other outcomes such as increased confidence, independence and maturity (White et al., 201</w:t>
      </w:r>
      <w:r w:rsidR="00085C16">
        <w:rPr>
          <w:szCs w:val="21"/>
        </w:rPr>
        <w:t>9</w:t>
      </w:r>
      <w:r w:rsidRPr="00C702ED">
        <w:rPr>
          <w:szCs w:val="21"/>
        </w:rPr>
        <w:t>). Recommendations of the evaluation suggest that this ‘gold standard’ program is suited to large scale employers of 3000 of more which afford a variety of placement opportunities for students (White et al., 201</w:t>
      </w:r>
      <w:r w:rsidR="00085C16">
        <w:rPr>
          <w:szCs w:val="21"/>
        </w:rPr>
        <w:t>9</w:t>
      </w:r>
      <w:r w:rsidRPr="00C702ED">
        <w:rPr>
          <w:szCs w:val="21"/>
        </w:rPr>
        <w:t>).</w:t>
      </w:r>
    </w:p>
    <w:p w14:paraId="19CD1539" w14:textId="77777777" w:rsidR="00F95489" w:rsidRDefault="00F95489" w:rsidP="00CE427B">
      <w:pPr>
        <w:spacing w:line="276" w:lineRule="auto"/>
        <w:sectPr w:rsidR="00F95489" w:rsidSect="00AE1DB2">
          <w:headerReference w:type="default" r:id="rId16"/>
          <w:footerReference w:type="default" r:id="rId17"/>
          <w:pgSz w:w="11907" w:h="16840" w:code="9"/>
          <w:pgMar w:top="1440" w:right="1440" w:bottom="1440" w:left="1440" w:header="431" w:footer="720" w:gutter="0"/>
          <w:cols w:space="720"/>
          <w:docGrid w:linePitch="360"/>
        </w:sectPr>
      </w:pPr>
    </w:p>
    <w:p w14:paraId="228E71A2" w14:textId="384D3440" w:rsidR="00AA271F" w:rsidRDefault="00AA271F" w:rsidP="00CE427B">
      <w:pPr>
        <w:pStyle w:val="Heading1"/>
        <w:pBdr>
          <w:bottom w:val="single" w:sz="4" w:space="1" w:color="auto"/>
        </w:pBdr>
        <w:spacing w:line="276" w:lineRule="auto"/>
      </w:pPr>
      <w:bookmarkStart w:id="101" w:name="_Toc49462473"/>
      <w:r>
        <w:lastRenderedPageBreak/>
        <w:t>evidence piece 10:</w:t>
      </w:r>
      <w:bookmarkEnd w:id="101"/>
    </w:p>
    <w:p w14:paraId="0FD1C99C" w14:textId="17CD5CC9" w:rsidR="00AA271F" w:rsidRDefault="00AA271F" w:rsidP="00FD1648">
      <w:pPr>
        <w:pStyle w:val="Heading1"/>
        <w:pBdr>
          <w:bottom w:val="single" w:sz="4" w:space="1" w:color="auto"/>
        </w:pBdr>
        <w:spacing w:line="276" w:lineRule="auto"/>
      </w:pPr>
      <w:bookmarkStart w:id="102" w:name="_Toc49462474"/>
      <w:r>
        <w:t>Work experience as a predictor of employment for people with intellectual disability</w:t>
      </w:r>
      <w:bookmarkEnd w:id="102"/>
    </w:p>
    <w:p w14:paraId="44440D1F" w14:textId="77777777" w:rsidR="00FD1648" w:rsidRDefault="00FD1648" w:rsidP="00FD1648">
      <w:bookmarkStart w:id="103" w:name="_Toc49417930"/>
    </w:p>
    <w:p w14:paraId="7E301F83" w14:textId="0A3F9501" w:rsidR="00AA271F" w:rsidRDefault="00AA271F" w:rsidP="00CE427B">
      <w:pPr>
        <w:pStyle w:val="Heading2"/>
        <w:spacing w:line="276" w:lineRule="auto"/>
      </w:pPr>
      <w:r>
        <w:t>What is work experience?</w:t>
      </w:r>
      <w:bookmarkEnd w:id="103"/>
    </w:p>
    <w:p w14:paraId="1735ED7D" w14:textId="77777777" w:rsidR="00AA271F" w:rsidRPr="004C24CA" w:rsidRDefault="00AA271F" w:rsidP="004C24CA">
      <w:pPr>
        <w:spacing w:line="276" w:lineRule="auto"/>
        <w:rPr>
          <w:rFonts w:asciiTheme="minorHAnsi" w:hAnsiTheme="minorHAnsi" w:cstheme="minorHAnsi"/>
          <w:szCs w:val="21"/>
        </w:rPr>
      </w:pPr>
      <w:r w:rsidRPr="004C24CA">
        <w:rPr>
          <w:rFonts w:asciiTheme="minorHAnsi" w:hAnsiTheme="minorHAnsi" w:cstheme="minorHAnsi"/>
          <w:szCs w:val="21"/>
        </w:rPr>
        <w:t>Work experience can be any direct exposure to the world of work. Young people often associate it with the structured 1-2 weeks of placement in a work environment that typically occurs in Australia as part of the year 9 or 10 curriculum in secondary schools.</w:t>
      </w:r>
    </w:p>
    <w:p w14:paraId="0AE4827F" w14:textId="77777777" w:rsidR="00AA271F" w:rsidRPr="004C24CA" w:rsidRDefault="00AA271F" w:rsidP="004C24CA">
      <w:pPr>
        <w:spacing w:line="276" w:lineRule="auto"/>
        <w:rPr>
          <w:rFonts w:asciiTheme="minorHAnsi" w:hAnsiTheme="minorHAnsi" w:cstheme="minorHAnsi"/>
          <w:color w:val="000000"/>
          <w:szCs w:val="21"/>
        </w:rPr>
      </w:pPr>
      <w:r w:rsidRPr="004C24CA">
        <w:rPr>
          <w:rFonts w:asciiTheme="minorHAnsi" w:hAnsiTheme="minorHAnsi" w:cstheme="minorHAnsi"/>
          <w:color w:val="000000"/>
          <w:szCs w:val="21"/>
        </w:rPr>
        <w:t>However, work experience includes a wide range of things such as:</w:t>
      </w:r>
    </w:p>
    <w:p w14:paraId="7B6EEA72" w14:textId="77777777" w:rsidR="00AA271F" w:rsidRPr="004C24CA" w:rsidRDefault="00AA271F" w:rsidP="004C24CA">
      <w:pPr>
        <w:pStyle w:val="ListParagraph"/>
        <w:numPr>
          <w:ilvl w:val="0"/>
          <w:numId w:val="39"/>
        </w:numPr>
        <w:spacing w:line="276" w:lineRule="auto"/>
        <w:rPr>
          <w:rFonts w:asciiTheme="minorHAnsi" w:hAnsiTheme="minorHAnsi" w:cstheme="minorHAnsi"/>
          <w:szCs w:val="21"/>
        </w:rPr>
      </w:pPr>
      <w:r w:rsidRPr="004C24CA">
        <w:rPr>
          <w:rFonts w:asciiTheme="minorHAnsi" w:hAnsiTheme="minorHAnsi" w:cstheme="minorHAnsi"/>
          <w:color w:val="000000"/>
          <w:szCs w:val="21"/>
        </w:rPr>
        <w:t>job tours and visits to workplaces</w:t>
      </w:r>
    </w:p>
    <w:p w14:paraId="69250CF9" w14:textId="77777777" w:rsidR="00AA271F" w:rsidRPr="004C24CA" w:rsidRDefault="00AA271F" w:rsidP="004C24CA">
      <w:pPr>
        <w:pStyle w:val="ListParagraph"/>
        <w:numPr>
          <w:ilvl w:val="0"/>
          <w:numId w:val="39"/>
        </w:numPr>
        <w:spacing w:line="276" w:lineRule="auto"/>
        <w:rPr>
          <w:rFonts w:asciiTheme="minorHAnsi" w:hAnsiTheme="minorHAnsi" w:cstheme="minorHAnsi"/>
          <w:szCs w:val="21"/>
        </w:rPr>
      </w:pPr>
      <w:r w:rsidRPr="004C24CA">
        <w:rPr>
          <w:rFonts w:asciiTheme="minorHAnsi" w:hAnsiTheme="minorHAnsi" w:cstheme="minorHAnsi"/>
          <w:color w:val="000000"/>
          <w:szCs w:val="21"/>
        </w:rPr>
        <w:t>job shadow days</w:t>
      </w:r>
    </w:p>
    <w:p w14:paraId="4D6FAC82" w14:textId="77777777" w:rsidR="00AA271F" w:rsidRPr="004C24CA" w:rsidRDefault="00AA271F" w:rsidP="004C24CA">
      <w:pPr>
        <w:pStyle w:val="ListParagraph"/>
        <w:numPr>
          <w:ilvl w:val="0"/>
          <w:numId w:val="39"/>
        </w:numPr>
        <w:spacing w:line="276" w:lineRule="auto"/>
        <w:rPr>
          <w:rFonts w:asciiTheme="minorHAnsi" w:hAnsiTheme="minorHAnsi" w:cstheme="minorHAnsi"/>
          <w:szCs w:val="21"/>
        </w:rPr>
      </w:pPr>
      <w:r w:rsidRPr="004C24CA">
        <w:rPr>
          <w:rFonts w:asciiTheme="minorHAnsi" w:hAnsiTheme="minorHAnsi" w:cstheme="minorHAnsi"/>
          <w:color w:val="000000"/>
          <w:szCs w:val="21"/>
        </w:rPr>
        <w:t xml:space="preserve">short or ongoing work experience placements </w:t>
      </w:r>
    </w:p>
    <w:p w14:paraId="5039E153" w14:textId="77777777" w:rsidR="00AA271F" w:rsidRPr="004C24CA" w:rsidRDefault="00AA271F" w:rsidP="004C24CA">
      <w:pPr>
        <w:pStyle w:val="ListParagraph"/>
        <w:numPr>
          <w:ilvl w:val="0"/>
          <w:numId w:val="39"/>
        </w:numPr>
        <w:spacing w:line="276" w:lineRule="auto"/>
        <w:rPr>
          <w:rFonts w:asciiTheme="minorHAnsi" w:hAnsiTheme="minorHAnsi" w:cstheme="minorHAnsi"/>
          <w:szCs w:val="21"/>
        </w:rPr>
      </w:pPr>
      <w:r w:rsidRPr="004C24CA">
        <w:rPr>
          <w:rFonts w:asciiTheme="minorHAnsi" w:hAnsiTheme="minorHAnsi" w:cstheme="minorHAnsi"/>
          <w:color w:val="000000"/>
          <w:szCs w:val="21"/>
        </w:rPr>
        <w:t>internships</w:t>
      </w:r>
    </w:p>
    <w:p w14:paraId="57860EC8" w14:textId="77777777" w:rsidR="00AA271F" w:rsidRPr="004C24CA" w:rsidRDefault="00AA271F" w:rsidP="004C24CA">
      <w:pPr>
        <w:pStyle w:val="ListParagraph"/>
        <w:numPr>
          <w:ilvl w:val="0"/>
          <w:numId w:val="39"/>
        </w:numPr>
        <w:spacing w:line="276" w:lineRule="auto"/>
        <w:rPr>
          <w:rFonts w:asciiTheme="minorHAnsi" w:hAnsiTheme="minorHAnsi" w:cstheme="minorHAnsi"/>
          <w:szCs w:val="21"/>
        </w:rPr>
      </w:pPr>
      <w:r w:rsidRPr="004C24CA">
        <w:rPr>
          <w:rFonts w:asciiTheme="minorHAnsi" w:hAnsiTheme="minorHAnsi" w:cstheme="minorHAnsi"/>
          <w:color w:val="000000"/>
          <w:szCs w:val="21"/>
        </w:rPr>
        <w:t xml:space="preserve">volunteering </w:t>
      </w:r>
    </w:p>
    <w:p w14:paraId="4CF2027F" w14:textId="77777777" w:rsidR="00AA271F" w:rsidRPr="004C24CA" w:rsidRDefault="00AA271F" w:rsidP="004C24CA">
      <w:pPr>
        <w:pStyle w:val="ListParagraph"/>
        <w:numPr>
          <w:ilvl w:val="0"/>
          <w:numId w:val="39"/>
        </w:numPr>
        <w:spacing w:line="276" w:lineRule="auto"/>
        <w:rPr>
          <w:rFonts w:asciiTheme="minorHAnsi" w:hAnsiTheme="minorHAnsi" w:cstheme="minorHAnsi"/>
          <w:szCs w:val="21"/>
        </w:rPr>
      </w:pPr>
      <w:r w:rsidRPr="004C24CA">
        <w:rPr>
          <w:rFonts w:asciiTheme="minorHAnsi" w:hAnsiTheme="minorHAnsi" w:cstheme="minorHAnsi"/>
          <w:color w:val="000000"/>
          <w:szCs w:val="21"/>
        </w:rPr>
        <w:t>casual, part time or full-time work.</w:t>
      </w:r>
    </w:p>
    <w:p w14:paraId="7B5694EE" w14:textId="77777777" w:rsidR="00AA271F" w:rsidRPr="004C24CA" w:rsidRDefault="00AA271F" w:rsidP="004C24CA">
      <w:pPr>
        <w:spacing w:line="276" w:lineRule="auto"/>
        <w:rPr>
          <w:rFonts w:asciiTheme="minorHAnsi" w:hAnsiTheme="minorHAnsi" w:cstheme="minorHAnsi"/>
          <w:szCs w:val="21"/>
        </w:rPr>
      </w:pPr>
      <w:r w:rsidRPr="004C24CA">
        <w:rPr>
          <w:rFonts w:asciiTheme="minorHAnsi" w:hAnsiTheme="minorHAnsi" w:cstheme="minorHAnsi"/>
          <w:szCs w:val="21"/>
        </w:rPr>
        <w:t>Work experience can be paid or unpaid.</w:t>
      </w:r>
    </w:p>
    <w:p w14:paraId="439C63A6" w14:textId="77777777" w:rsidR="00AA271F" w:rsidRPr="003D3DFB" w:rsidRDefault="00AA271F" w:rsidP="003D3DFB">
      <w:pPr>
        <w:pStyle w:val="Heading2"/>
      </w:pPr>
      <w:bookmarkStart w:id="104" w:name="_Toc49417931"/>
      <w:r w:rsidRPr="003D3DFB">
        <w:t>What are the outcomes of work experience?</w:t>
      </w:r>
      <w:bookmarkEnd w:id="104"/>
    </w:p>
    <w:p w14:paraId="61A7B470" w14:textId="334F1E60" w:rsidR="00AA271F" w:rsidRPr="004C24CA" w:rsidRDefault="00AA271F" w:rsidP="004C24CA">
      <w:pPr>
        <w:spacing w:line="276" w:lineRule="auto"/>
        <w:rPr>
          <w:rFonts w:asciiTheme="minorHAnsi" w:hAnsiTheme="minorHAnsi" w:cstheme="minorHAnsi"/>
          <w:szCs w:val="21"/>
        </w:rPr>
      </w:pPr>
      <w:r w:rsidRPr="004C24CA">
        <w:rPr>
          <w:rFonts w:asciiTheme="minorHAnsi" w:hAnsiTheme="minorHAnsi" w:cstheme="minorHAnsi"/>
          <w:szCs w:val="21"/>
        </w:rPr>
        <w:t xml:space="preserve">Work experience is a major way that individuals, including people with intellectual disability, learn about the world of work and build relevant skills and confidence. Internationally, work experience while in secondary school, or post-secondary education, has consistently been found to be a predictor of post-secondary employment for students with disability (Test et al., 2009; </w:t>
      </w:r>
      <w:proofErr w:type="spellStart"/>
      <w:r w:rsidRPr="004C24CA">
        <w:rPr>
          <w:rFonts w:asciiTheme="minorHAnsi" w:hAnsiTheme="minorHAnsi" w:cstheme="minorHAnsi"/>
          <w:szCs w:val="21"/>
        </w:rPr>
        <w:t>Wehman</w:t>
      </w:r>
      <w:proofErr w:type="spellEnd"/>
      <w:r w:rsidRPr="004C24CA">
        <w:rPr>
          <w:rFonts w:asciiTheme="minorHAnsi" w:hAnsiTheme="minorHAnsi" w:cstheme="minorHAnsi"/>
          <w:szCs w:val="21"/>
        </w:rPr>
        <w:t xml:space="preserve"> et al., 2014; </w:t>
      </w:r>
      <w:proofErr w:type="spellStart"/>
      <w:r w:rsidRPr="004C24CA">
        <w:rPr>
          <w:rFonts w:asciiTheme="minorHAnsi" w:hAnsiTheme="minorHAnsi" w:cstheme="minorHAnsi"/>
          <w:szCs w:val="21"/>
        </w:rPr>
        <w:t>Wehman</w:t>
      </w:r>
      <w:proofErr w:type="spellEnd"/>
      <w:r w:rsidRPr="004C24CA">
        <w:rPr>
          <w:rFonts w:asciiTheme="minorHAnsi" w:hAnsiTheme="minorHAnsi" w:cstheme="minorHAnsi"/>
          <w:szCs w:val="21"/>
        </w:rPr>
        <w:t xml:space="preserve"> et al., 2018). Australian research also shows that:</w:t>
      </w:r>
    </w:p>
    <w:p w14:paraId="79C2246B" w14:textId="2D3261BB" w:rsidR="00AA271F" w:rsidRPr="004C24CA" w:rsidRDefault="00AA271F" w:rsidP="004C24CA">
      <w:pPr>
        <w:spacing w:line="276" w:lineRule="auto"/>
        <w:ind w:left="360" w:right="360"/>
        <w:rPr>
          <w:rFonts w:asciiTheme="minorHAnsi" w:hAnsiTheme="minorHAnsi" w:cstheme="minorHAnsi"/>
          <w:szCs w:val="21"/>
        </w:rPr>
      </w:pPr>
      <w:r w:rsidRPr="004C24CA">
        <w:rPr>
          <w:rFonts w:asciiTheme="minorHAnsi" w:hAnsiTheme="minorHAnsi" w:cstheme="minorHAnsi"/>
          <w:szCs w:val="21"/>
        </w:rPr>
        <w:t>young people with disability benefit from frequent and continuous exposure to real work environments throughout the secondary school years and beyond (Wakef</w:t>
      </w:r>
      <w:r w:rsidR="00182CCB">
        <w:rPr>
          <w:rFonts w:asciiTheme="minorHAnsi" w:hAnsiTheme="minorHAnsi" w:cstheme="minorHAnsi"/>
          <w:szCs w:val="21"/>
        </w:rPr>
        <w:t>ord</w:t>
      </w:r>
      <w:r w:rsidRPr="004C24CA">
        <w:rPr>
          <w:rFonts w:asciiTheme="minorHAnsi" w:hAnsiTheme="minorHAnsi" w:cstheme="minorHAnsi"/>
          <w:szCs w:val="21"/>
        </w:rPr>
        <w:t xml:space="preserve"> &amp; Waugh, 201</w:t>
      </w:r>
      <w:r w:rsidR="00182CCB">
        <w:rPr>
          <w:rFonts w:asciiTheme="minorHAnsi" w:hAnsiTheme="minorHAnsi" w:cstheme="minorHAnsi"/>
          <w:szCs w:val="21"/>
        </w:rPr>
        <w:t>4</w:t>
      </w:r>
      <w:r w:rsidRPr="004C24CA">
        <w:rPr>
          <w:rFonts w:asciiTheme="minorHAnsi" w:hAnsiTheme="minorHAnsi" w:cstheme="minorHAnsi"/>
          <w:szCs w:val="21"/>
        </w:rPr>
        <w:t>, p.</w:t>
      </w:r>
      <w:r w:rsidR="00755E0A" w:rsidRPr="004C24CA">
        <w:rPr>
          <w:rFonts w:asciiTheme="minorHAnsi" w:hAnsiTheme="minorHAnsi" w:cstheme="minorHAnsi"/>
          <w:szCs w:val="21"/>
        </w:rPr>
        <w:t xml:space="preserve"> </w:t>
      </w:r>
      <w:r w:rsidR="00182CCB">
        <w:rPr>
          <w:rFonts w:asciiTheme="minorHAnsi" w:hAnsiTheme="minorHAnsi" w:cstheme="minorHAnsi"/>
          <w:szCs w:val="21"/>
        </w:rPr>
        <w:t>8).</w:t>
      </w:r>
    </w:p>
    <w:p w14:paraId="27FC271E" w14:textId="5E18BB4A" w:rsidR="00AA271F" w:rsidRPr="004C24CA" w:rsidRDefault="00AA271F" w:rsidP="004C24CA">
      <w:pPr>
        <w:autoSpaceDE w:val="0"/>
        <w:autoSpaceDN w:val="0"/>
        <w:adjustRightInd w:val="0"/>
        <w:spacing w:line="276" w:lineRule="auto"/>
        <w:rPr>
          <w:rFonts w:asciiTheme="minorHAnsi" w:hAnsiTheme="minorHAnsi" w:cstheme="minorHAnsi"/>
          <w:color w:val="000000"/>
          <w:szCs w:val="21"/>
        </w:rPr>
      </w:pPr>
      <w:r w:rsidRPr="004C24CA">
        <w:rPr>
          <w:rFonts w:asciiTheme="minorHAnsi" w:hAnsiTheme="minorHAnsi" w:cstheme="minorHAnsi"/>
          <w:szCs w:val="21"/>
        </w:rPr>
        <w:t>Work experience in general, and especially during school years, is a strong predictor of later employment for people with intellectual disability (</w:t>
      </w:r>
      <w:proofErr w:type="spellStart"/>
      <w:r w:rsidRPr="004C24CA">
        <w:rPr>
          <w:rFonts w:asciiTheme="minorHAnsi" w:hAnsiTheme="minorHAnsi" w:cstheme="minorHAnsi"/>
          <w:szCs w:val="21"/>
        </w:rPr>
        <w:t>Molfenter</w:t>
      </w:r>
      <w:proofErr w:type="spellEnd"/>
      <w:r w:rsidRPr="004C24CA">
        <w:rPr>
          <w:rFonts w:asciiTheme="minorHAnsi" w:hAnsiTheme="minorHAnsi" w:cstheme="minorHAnsi"/>
          <w:szCs w:val="21"/>
        </w:rPr>
        <w:t xml:space="preserve"> et al., 2017; </w:t>
      </w:r>
      <w:proofErr w:type="spellStart"/>
      <w:r w:rsidRPr="004C24CA">
        <w:rPr>
          <w:rFonts w:asciiTheme="minorHAnsi" w:hAnsiTheme="minorHAnsi" w:cstheme="minorHAnsi"/>
          <w:color w:val="000000"/>
          <w:szCs w:val="21"/>
        </w:rPr>
        <w:t>Petcu</w:t>
      </w:r>
      <w:proofErr w:type="spellEnd"/>
      <w:r w:rsidR="00DE726F" w:rsidRPr="004C24CA">
        <w:rPr>
          <w:rFonts w:asciiTheme="minorHAnsi" w:hAnsiTheme="minorHAnsi" w:cstheme="minorHAnsi"/>
          <w:color w:val="000000"/>
          <w:szCs w:val="21"/>
        </w:rPr>
        <w:t xml:space="preserve"> et al.,</w:t>
      </w:r>
      <w:r w:rsidRPr="004C24CA">
        <w:rPr>
          <w:rFonts w:asciiTheme="minorHAnsi" w:hAnsiTheme="minorHAnsi" w:cstheme="minorHAnsi"/>
          <w:color w:val="000000"/>
          <w:szCs w:val="21"/>
        </w:rPr>
        <w:t xml:space="preserve"> 2015; </w:t>
      </w:r>
      <w:proofErr w:type="spellStart"/>
      <w:r w:rsidRPr="004C24CA">
        <w:rPr>
          <w:rFonts w:asciiTheme="minorHAnsi" w:hAnsiTheme="minorHAnsi" w:cstheme="minorHAnsi"/>
          <w:color w:val="000000"/>
          <w:szCs w:val="21"/>
        </w:rPr>
        <w:t>Scheef</w:t>
      </w:r>
      <w:proofErr w:type="spellEnd"/>
      <w:r w:rsidRPr="004C24CA">
        <w:rPr>
          <w:rFonts w:asciiTheme="minorHAnsi" w:hAnsiTheme="minorHAnsi" w:cstheme="minorHAnsi"/>
          <w:color w:val="000000"/>
          <w:szCs w:val="21"/>
        </w:rPr>
        <w:t xml:space="preserve"> et al., 2018; </w:t>
      </w:r>
      <w:proofErr w:type="spellStart"/>
      <w:r w:rsidRPr="004C24CA">
        <w:rPr>
          <w:rFonts w:asciiTheme="minorHAnsi" w:hAnsiTheme="minorHAnsi" w:cstheme="minorHAnsi"/>
          <w:color w:val="000000"/>
          <w:szCs w:val="21"/>
        </w:rPr>
        <w:t>Wehman</w:t>
      </w:r>
      <w:proofErr w:type="spellEnd"/>
      <w:r w:rsidRPr="004C24CA">
        <w:rPr>
          <w:rFonts w:asciiTheme="minorHAnsi" w:hAnsiTheme="minorHAnsi" w:cstheme="minorHAnsi"/>
          <w:color w:val="000000"/>
          <w:szCs w:val="21"/>
        </w:rPr>
        <w:t xml:space="preserve"> et al.</w:t>
      </w:r>
      <w:r w:rsidR="00630692" w:rsidRPr="004C24CA">
        <w:rPr>
          <w:rFonts w:asciiTheme="minorHAnsi" w:hAnsiTheme="minorHAnsi" w:cstheme="minorHAnsi"/>
          <w:color w:val="000000"/>
          <w:szCs w:val="21"/>
        </w:rPr>
        <w:t>,</w:t>
      </w:r>
      <w:r w:rsidRPr="004C24CA">
        <w:rPr>
          <w:rFonts w:asciiTheme="minorHAnsi" w:hAnsiTheme="minorHAnsi" w:cstheme="minorHAnsi"/>
          <w:color w:val="000000"/>
          <w:szCs w:val="21"/>
        </w:rPr>
        <w:t xml:space="preserve"> 2018; Joshi et al.</w:t>
      </w:r>
      <w:r w:rsidR="009B1FC4" w:rsidRPr="004C24CA">
        <w:rPr>
          <w:rFonts w:asciiTheme="minorHAnsi" w:hAnsiTheme="minorHAnsi" w:cstheme="minorHAnsi"/>
          <w:color w:val="000000"/>
          <w:szCs w:val="21"/>
        </w:rPr>
        <w:t>,</w:t>
      </w:r>
      <w:r w:rsidRPr="004C24CA">
        <w:rPr>
          <w:rFonts w:asciiTheme="minorHAnsi" w:hAnsiTheme="minorHAnsi" w:cstheme="minorHAnsi"/>
          <w:color w:val="000000"/>
          <w:szCs w:val="21"/>
        </w:rPr>
        <w:t xml:space="preserve"> 2012; Southward &amp; </w:t>
      </w:r>
      <w:proofErr w:type="spellStart"/>
      <w:r w:rsidRPr="004C24CA">
        <w:rPr>
          <w:rFonts w:asciiTheme="minorHAnsi" w:hAnsiTheme="minorHAnsi" w:cstheme="minorHAnsi"/>
          <w:color w:val="000000"/>
          <w:szCs w:val="21"/>
        </w:rPr>
        <w:t>Kyzar</w:t>
      </w:r>
      <w:proofErr w:type="spellEnd"/>
      <w:r w:rsidRPr="004C24CA">
        <w:rPr>
          <w:rFonts w:asciiTheme="minorHAnsi" w:hAnsiTheme="minorHAnsi" w:cstheme="minorHAnsi"/>
          <w:color w:val="000000"/>
          <w:szCs w:val="21"/>
        </w:rPr>
        <w:t xml:space="preserve">, 2017). </w:t>
      </w:r>
      <w:proofErr w:type="gramStart"/>
      <w:r w:rsidRPr="004C24CA">
        <w:rPr>
          <w:rFonts w:asciiTheme="minorHAnsi" w:hAnsiTheme="minorHAnsi" w:cstheme="minorHAnsi"/>
          <w:color w:val="000000"/>
          <w:szCs w:val="21"/>
        </w:rPr>
        <w:t>A number of</w:t>
      </w:r>
      <w:proofErr w:type="gramEnd"/>
      <w:r w:rsidRPr="004C24CA">
        <w:rPr>
          <w:rFonts w:asciiTheme="minorHAnsi" w:hAnsiTheme="minorHAnsi" w:cstheme="minorHAnsi"/>
          <w:color w:val="000000"/>
          <w:szCs w:val="21"/>
        </w:rPr>
        <w:t xml:space="preserve"> studies found that paid work experience, while attending secondary school, more than doubles post-secondary open employment outcomes for people with intellectual disabilities (Southward &amp; </w:t>
      </w:r>
      <w:proofErr w:type="spellStart"/>
      <w:r w:rsidRPr="004C24CA">
        <w:rPr>
          <w:rFonts w:asciiTheme="minorHAnsi" w:hAnsiTheme="minorHAnsi" w:cstheme="minorHAnsi"/>
          <w:color w:val="000000"/>
          <w:szCs w:val="21"/>
        </w:rPr>
        <w:t>Kyzar</w:t>
      </w:r>
      <w:proofErr w:type="spellEnd"/>
      <w:r w:rsidRPr="004C24CA">
        <w:rPr>
          <w:rFonts w:asciiTheme="minorHAnsi" w:hAnsiTheme="minorHAnsi" w:cstheme="minorHAnsi"/>
          <w:color w:val="000000"/>
          <w:szCs w:val="21"/>
        </w:rPr>
        <w:t>, 2017).</w:t>
      </w:r>
    </w:p>
    <w:p w14:paraId="0F756253" w14:textId="743AB454" w:rsidR="00AA271F" w:rsidRPr="004C24CA" w:rsidRDefault="00AA271F" w:rsidP="00FB48BE">
      <w:pPr>
        <w:spacing w:line="276" w:lineRule="auto"/>
        <w:ind w:left="284" w:right="270"/>
        <w:rPr>
          <w:rFonts w:asciiTheme="minorHAnsi" w:hAnsiTheme="minorHAnsi" w:cstheme="minorHAnsi"/>
          <w:szCs w:val="21"/>
        </w:rPr>
      </w:pPr>
      <w:r w:rsidRPr="004C24CA">
        <w:rPr>
          <w:rFonts w:asciiTheme="minorHAnsi" w:hAnsiTheme="minorHAnsi" w:cstheme="minorHAnsi"/>
          <w:szCs w:val="21"/>
        </w:rPr>
        <w:t xml:space="preserve">Evidence from overseas and Australia indicates that connecting a young person with the world of work </w:t>
      </w:r>
      <w:r w:rsidRPr="004C24CA">
        <w:rPr>
          <w:rFonts w:asciiTheme="minorHAnsi" w:hAnsiTheme="minorHAnsi" w:cstheme="minorHAnsi"/>
          <w:i/>
          <w:iCs/>
          <w:szCs w:val="21"/>
        </w:rPr>
        <w:t xml:space="preserve">before </w:t>
      </w:r>
      <w:r w:rsidRPr="004C24CA">
        <w:rPr>
          <w:rFonts w:asciiTheme="minorHAnsi" w:hAnsiTheme="minorHAnsi" w:cstheme="minorHAnsi"/>
          <w:szCs w:val="21"/>
        </w:rPr>
        <w:t>they leave school greatly improves their chances of securing ongoing employment. … most people with intellectual disabilities who are currently employed, had their first job before turning 21, indicating that early intervention and school to work support are key (ARTD Consultants, 2019, p. 4)</w:t>
      </w:r>
      <w:r w:rsidR="00FB48BE">
        <w:rPr>
          <w:rFonts w:asciiTheme="minorHAnsi" w:hAnsiTheme="minorHAnsi" w:cstheme="minorHAnsi"/>
          <w:szCs w:val="21"/>
        </w:rPr>
        <w:t>.</w:t>
      </w:r>
    </w:p>
    <w:p w14:paraId="2549B503" w14:textId="3992F5C6" w:rsidR="00AA271F" w:rsidRPr="004C24CA" w:rsidRDefault="00FB48BE" w:rsidP="004C24CA">
      <w:pPr>
        <w:spacing w:line="276" w:lineRule="auto"/>
        <w:ind w:left="360" w:right="360"/>
        <w:rPr>
          <w:rFonts w:asciiTheme="minorHAnsi" w:hAnsiTheme="minorHAnsi" w:cstheme="minorHAnsi"/>
          <w:szCs w:val="21"/>
        </w:rPr>
      </w:pPr>
      <w:r>
        <w:rPr>
          <w:rFonts w:asciiTheme="minorHAnsi" w:hAnsiTheme="minorHAnsi" w:cstheme="minorHAnsi"/>
          <w:szCs w:val="21"/>
        </w:rPr>
        <w:t xml:space="preserve">… </w:t>
      </w:r>
      <w:r w:rsidR="00AA271F" w:rsidRPr="004C24CA">
        <w:rPr>
          <w:rFonts w:asciiTheme="minorHAnsi" w:hAnsiTheme="minorHAnsi" w:cstheme="minorHAnsi"/>
          <w:szCs w:val="21"/>
        </w:rPr>
        <w:t>the most consistent predictor</w:t>
      </w:r>
      <w:r>
        <w:rPr>
          <w:rFonts w:asciiTheme="minorHAnsi" w:hAnsiTheme="minorHAnsi" w:cstheme="minorHAnsi"/>
          <w:szCs w:val="21"/>
        </w:rPr>
        <w:t>s</w:t>
      </w:r>
      <w:r w:rsidR="00AA271F" w:rsidRPr="004C24CA">
        <w:rPr>
          <w:rFonts w:asciiTheme="minorHAnsi" w:hAnsiTheme="minorHAnsi" w:cstheme="minorHAnsi"/>
          <w:szCs w:val="21"/>
        </w:rPr>
        <w:t xml:space="preserve"> of post school employment success ha</w:t>
      </w:r>
      <w:r>
        <w:rPr>
          <w:rFonts w:asciiTheme="minorHAnsi" w:hAnsiTheme="minorHAnsi" w:cstheme="minorHAnsi"/>
          <w:szCs w:val="21"/>
        </w:rPr>
        <w:t>s [sic]</w:t>
      </w:r>
      <w:r w:rsidR="00AA271F" w:rsidRPr="004C24CA">
        <w:rPr>
          <w:rFonts w:asciiTheme="minorHAnsi" w:hAnsiTheme="minorHAnsi" w:cstheme="minorHAnsi"/>
          <w:szCs w:val="21"/>
        </w:rPr>
        <w:t xml:space="preserve"> been community-based work experience while young people are still in high school, particularly paid jobs - where students are integrated into authentic workplaces alongside co-workers without disabilities (</w:t>
      </w:r>
      <w:proofErr w:type="spellStart"/>
      <w:r w:rsidR="00AA271F" w:rsidRPr="004C24CA">
        <w:rPr>
          <w:rFonts w:asciiTheme="minorHAnsi" w:hAnsiTheme="minorHAnsi" w:cstheme="minorHAnsi"/>
          <w:szCs w:val="21"/>
        </w:rPr>
        <w:t>Luecking</w:t>
      </w:r>
      <w:proofErr w:type="spellEnd"/>
      <w:r w:rsidR="00AA271F" w:rsidRPr="004C24CA">
        <w:rPr>
          <w:rFonts w:asciiTheme="minorHAnsi" w:hAnsiTheme="minorHAnsi" w:cstheme="minorHAnsi"/>
          <w:szCs w:val="21"/>
        </w:rPr>
        <w:t>, 2009</w:t>
      </w:r>
      <w:r w:rsidR="007659D5" w:rsidRPr="004C24CA">
        <w:rPr>
          <w:rFonts w:asciiTheme="minorHAnsi" w:hAnsiTheme="minorHAnsi" w:cstheme="minorHAnsi"/>
          <w:szCs w:val="21"/>
        </w:rPr>
        <w:t>,</w:t>
      </w:r>
      <w:r w:rsidR="00AA271F" w:rsidRPr="004C24CA">
        <w:rPr>
          <w:rFonts w:asciiTheme="minorHAnsi" w:hAnsiTheme="minorHAnsi" w:cstheme="minorHAnsi"/>
          <w:szCs w:val="21"/>
        </w:rPr>
        <w:t xml:space="preserve"> quoted in </w:t>
      </w:r>
      <w:bookmarkStart w:id="105" w:name="_Hlk39414041"/>
      <w:r w:rsidR="00AA271F" w:rsidRPr="004C24CA">
        <w:rPr>
          <w:rFonts w:asciiTheme="minorHAnsi" w:hAnsiTheme="minorHAnsi" w:cstheme="minorHAnsi"/>
          <w:szCs w:val="21"/>
        </w:rPr>
        <w:t>Wakeford &amp; Waugh, 201</w:t>
      </w:r>
      <w:bookmarkEnd w:id="105"/>
      <w:r>
        <w:rPr>
          <w:rFonts w:asciiTheme="minorHAnsi" w:hAnsiTheme="minorHAnsi" w:cstheme="minorHAnsi"/>
          <w:szCs w:val="21"/>
        </w:rPr>
        <w:t>4</w:t>
      </w:r>
      <w:r w:rsidR="00AA271F" w:rsidRPr="004C24CA">
        <w:rPr>
          <w:rFonts w:asciiTheme="minorHAnsi" w:hAnsiTheme="minorHAnsi" w:cstheme="minorHAnsi"/>
          <w:szCs w:val="21"/>
        </w:rPr>
        <w:t>, p.</w:t>
      </w:r>
      <w:r w:rsidR="00D47D14" w:rsidRPr="004C24CA">
        <w:rPr>
          <w:rFonts w:asciiTheme="minorHAnsi" w:hAnsiTheme="minorHAnsi" w:cstheme="minorHAnsi"/>
          <w:szCs w:val="21"/>
        </w:rPr>
        <w:t xml:space="preserve"> </w:t>
      </w:r>
      <w:r>
        <w:rPr>
          <w:rFonts w:asciiTheme="minorHAnsi" w:hAnsiTheme="minorHAnsi" w:cstheme="minorHAnsi"/>
          <w:szCs w:val="21"/>
        </w:rPr>
        <w:t>8</w:t>
      </w:r>
      <w:r w:rsidR="00AA271F" w:rsidRPr="004C24CA">
        <w:rPr>
          <w:rFonts w:asciiTheme="minorHAnsi" w:hAnsiTheme="minorHAnsi" w:cstheme="minorHAnsi"/>
          <w:szCs w:val="21"/>
        </w:rPr>
        <w:t>)</w:t>
      </w:r>
      <w:r>
        <w:rPr>
          <w:rFonts w:asciiTheme="minorHAnsi" w:hAnsiTheme="minorHAnsi" w:cstheme="minorHAnsi"/>
          <w:szCs w:val="21"/>
        </w:rPr>
        <w:t>.</w:t>
      </w:r>
    </w:p>
    <w:p w14:paraId="17B20A09" w14:textId="55EB8904" w:rsidR="00AA271F" w:rsidRPr="004C24CA" w:rsidRDefault="00AA271F" w:rsidP="004C24CA">
      <w:pPr>
        <w:spacing w:line="276" w:lineRule="auto"/>
        <w:ind w:left="360" w:right="360"/>
        <w:rPr>
          <w:rFonts w:asciiTheme="minorHAnsi" w:hAnsiTheme="minorHAnsi" w:cstheme="minorHAnsi"/>
          <w:szCs w:val="21"/>
        </w:rPr>
      </w:pPr>
      <w:r w:rsidRPr="004C24CA">
        <w:rPr>
          <w:rFonts w:asciiTheme="minorHAnsi" w:hAnsiTheme="minorHAnsi" w:cstheme="minorHAnsi"/>
          <w:szCs w:val="21"/>
        </w:rPr>
        <w:lastRenderedPageBreak/>
        <w:t>Having a paid working experience prior to exiting high school is the number one predictor for youth with intellectual disabilities pursuing CIE [competitive integrated employment] after graduation (</w:t>
      </w:r>
      <w:proofErr w:type="spellStart"/>
      <w:r w:rsidRPr="004C24CA">
        <w:rPr>
          <w:rFonts w:asciiTheme="minorHAnsi" w:hAnsiTheme="minorHAnsi" w:cstheme="minorHAnsi"/>
          <w:szCs w:val="21"/>
        </w:rPr>
        <w:t>Wehman</w:t>
      </w:r>
      <w:proofErr w:type="spellEnd"/>
      <w:r w:rsidRPr="004C24CA">
        <w:rPr>
          <w:rFonts w:asciiTheme="minorHAnsi" w:hAnsiTheme="minorHAnsi" w:cstheme="minorHAnsi"/>
          <w:szCs w:val="21"/>
        </w:rPr>
        <w:t xml:space="preserve"> et al., 2018. p. 140)</w:t>
      </w:r>
      <w:r w:rsidR="00FB48BE">
        <w:rPr>
          <w:rFonts w:asciiTheme="minorHAnsi" w:hAnsiTheme="minorHAnsi" w:cstheme="minorHAnsi"/>
          <w:szCs w:val="21"/>
        </w:rPr>
        <w:t>.</w:t>
      </w:r>
    </w:p>
    <w:p w14:paraId="2437BBDC" w14:textId="6292A53E" w:rsidR="00AA271F" w:rsidRPr="004C24CA" w:rsidRDefault="00AA271F" w:rsidP="004C24CA">
      <w:pPr>
        <w:spacing w:line="276" w:lineRule="auto"/>
        <w:rPr>
          <w:rFonts w:asciiTheme="minorHAnsi" w:hAnsiTheme="minorHAnsi" w:cstheme="minorHAnsi"/>
          <w:szCs w:val="21"/>
        </w:rPr>
      </w:pPr>
      <w:r w:rsidRPr="004C24CA">
        <w:rPr>
          <w:rFonts w:asciiTheme="minorHAnsi" w:hAnsiTheme="minorHAnsi" w:cstheme="minorHAnsi"/>
          <w:szCs w:val="21"/>
        </w:rPr>
        <w:t xml:space="preserve">One American study (Joshi et al., 2012) found that work experience, as a major predictor of post school employment, also applied to young people with mild intellectual disability who were students in special education settings. These students </w:t>
      </w:r>
      <w:r w:rsidR="004C786C" w:rsidRPr="004C24CA">
        <w:rPr>
          <w:rFonts w:asciiTheme="minorHAnsi" w:hAnsiTheme="minorHAnsi" w:cstheme="minorHAnsi"/>
          <w:szCs w:val="21"/>
        </w:rPr>
        <w:t>“</w:t>
      </w:r>
      <w:r w:rsidRPr="004C24CA">
        <w:rPr>
          <w:rFonts w:asciiTheme="minorHAnsi" w:hAnsiTheme="minorHAnsi" w:cstheme="minorHAnsi"/>
          <w:szCs w:val="21"/>
        </w:rPr>
        <w:t>were 5.704 times as likely to ever engage in employment after school if they engaged in paid-employment experiences while in school</w:t>
      </w:r>
      <w:r w:rsidR="004C786C" w:rsidRPr="004C24CA">
        <w:rPr>
          <w:rFonts w:asciiTheme="minorHAnsi" w:hAnsiTheme="minorHAnsi" w:cstheme="minorHAnsi"/>
          <w:szCs w:val="21"/>
        </w:rPr>
        <w:t>”</w:t>
      </w:r>
      <w:r w:rsidRPr="004C24CA">
        <w:rPr>
          <w:rFonts w:asciiTheme="minorHAnsi" w:hAnsiTheme="minorHAnsi" w:cstheme="minorHAnsi"/>
          <w:szCs w:val="21"/>
        </w:rPr>
        <w:t xml:space="preserve"> (Joshi et al., 2012, p.</w:t>
      </w:r>
      <w:r w:rsidR="00CE47AF" w:rsidRPr="004C24CA">
        <w:rPr>
          <w:rFonts w:asciiTheme="minorHAnsi" w:hAnsiTheme="minorHAnsi" w:cstheme="minorHAnsi"/>
          <w:szCs w:val="21"/>
        </w:rPr>
        <w:t xml:space="preserve"> </w:t>
      </w:r>
      <w:r w:rsidRPr="004C24CA">
        <w:rPr>
          <w:rFonts w:asciiTheme="minorHAnsi" w:hAnsiTheme="minorHAnsi" w:cstheme="minorHAnsi"/>
          <w:szCs w:val="21"/>
        </w:rPr>
        <w:t>104).</w:t>
      </w:r>
    </w:p>
    <w:p w14:paraId="092EB06E" w14:textId="77777777" w:rsidR="00AA271F" w:rsidRPr="004C24CA" w:rsidRDefault="00AA271F" w:rsidP="004C24CA">
      <w:pPr>
        <w:spacing w:line="276" w:lineRule="auto"/>
        <w:rPr>
          <w:rFonts w:asciiTheme="minorHAnsi" w:hAnsiTheme="minorHAnsi" w:cstheme="minorHAnsi"/>
          <w:szCs w:val="21"/>
        </w:rPr>
      </w:pPr>
      <w:r w:rsidRPr="004C24CA">
        <w:rPr>
          <w:rFonts w:asciiTheme="minorHAnsi" w:hAnsiTheme="minorHAnsi" w:cstheme="minorHAnsi"/>
          <w:szCs w:val="21"/>
        </w:rPr>
        <w:t>Work experience has many benefits for people with intellectual disability. It:</w:t>
      </w:r>
    </w:p>
    <w:p w14:paraId="5F3326B4" w14:textId="77777777" w:rsidR="00AA271F" w:rsidRPr="004C24CA" w:rsidRDefault="00AA271F" w:rsidP="004C24CA">
      <w:pPr>
        <w:spacing w:line="276" w:lineRule="auto"/>
        <w:ind w:left="720" w:hanging="360"/>
        <w:rPr>
          <w:rFonts w:asciiTheme="minorHAnsi" w:hAnsiTheme="minorHAnsi" w:cstheme="minorHAnsi"/>
          <w:szCs w:val="21"/>
        </w:rPr>
      </w:pPr>
      <w:r w:rsidRPr="004C24CA">
        <w:rPr>
          <w:rFonts w:asciiTheme="minorHAnsi" w:hAnsiTheme="minorHAnsi" w:cstheme="minorHAnsi"/>
          <w:color w:val="000000"/>
          <w:szCs w:val="21"/>
        </w:rPr>
        <w:t xml:space="preserve">1) </w:t>
      </w:r>
      <w:r w:rsidRPr="004C24CA">
        <w:rPr>
          <w:rFonts w:asciiTheme="minorHAnsi" w:hAnsiTheme="minorHAnsi" w:cstheme="minorHAnsi"/>
          <w:color w:val="000000"/>
          <w:szCs w:val="21"/>
        </w:rPr>
        <w:tab/>
        <w:t xml:space="preserve">Supports the learning of people with intellectual disability about what they can do and builds confidence; </w:t>
      </w:r>
    </w:p>
    <w:p w14:paraId="4860B0D1" w14:textId="77777777" w:rsidR="00AA271F" w:rsidRPr="004C24CA" w:rsidRDefault="00AA271F" w:rsidP="004C24CA">
      <w:pPr>
        <w:autoSpaceDE w:val="0"/>
        <w:autoSpaceDN w:val="0"/>
        <w:adjustRightInd w:val="0"/>
        <w:spacing w:line="276" w:lineRule="auto"/>
        <w:ind w:left="720" w:hanging="360"/>
        <w:rPr>
          <w:rFonts w:asciiTheme="minorHAnsi" w:hAnsiTheme="minorHAnsi" w:cstheme="minorHAnsi"/>
          <w:color w:val="000000"/>
          <w:szCs w:val="21"/>
        </w:rPr>
      </w:pPr>
      <w:r w:rsidRPr="004C24CA">
        <w:rPr>
          <w:rFonts w:asciiTheme="minorHAnsi" w:hAnsiTheme="minorHAnsi" w:cstheme="minorHAnsi"/>
          <w:color w:val="000000"/>
          <w:szCs w:val="21"/>
        </w:rPr>
        <w:t xml:space="preserve">2) </w:t>
      </w:r>
      <w:r w:rsidRPr="004C24CA">
        <w:rPr>
          <w:rFonts w:asciiTheme="minorHAnsi" w:hAnsiTheme="minorHAnsi" w:cstheme="minorHAnsi"/>
          <w:color w:val="000000"/>
          <w:szCs w:val="21"/>
        </w:rPr>
        <w:tab/>
        <w:t xml:space="preserve">Enables families and other supporters (such as teachers and job coaches) to see what is possible for the person; </w:t>
      </w:r>
    </w:p>
    <w:p w14:paraId="406C0B35" w14:textId="77777777" w:rsidR="00AA271F" w:rsidRPr="004C24CA" w:rsidRDefault="00AA271F" w:rsidP="004C24CA">
      <w:pPr>
        <w:autoSpaceDE w:val="0"/>
        <w:autoSpaceDN w:val="0"/>
        <w:adjustRightInd w:val="0"/>
        <w:spacing w:line="276" w:lineRule="auto"/>
        <w:ind w:left="720" w:hanging="360"/>
        <w:rPr>
          <w:rFonts w:asciiTheme="minorHAnsi" w:hAnsiTheme="minorHAnsi" w:cstheme="minorHAnsi"/>
          <w:color w:val="000000"/>
          <w:szCs w:val="21"/>
        </w:rPr>
      </w:pPr>
      <w:r w:rsidRPr="004C24CA">
        <w:rPr>
          <w:rFonts w:asciiTheme="minorHAnsi" w:hAnsiTheme="minorHAnsi" w:cstheme="minorHAnsi"/>
          <w:color w:val="000000"/>
          <w:szCs w:val="21"/>
        </w:rPr>
        <w:t xml:space="preserve">3) </w:t>
      </w:r>
      <w:r w:rsidRPr="004C24CA">
        <w:rPr>
          <w:rFonts w:asciiTheme="minorHAnsi" w:hAnsiTheme="minorHAnsi" w:cstheme="minorHAnsi"/>
          <w:color w:val="000000"/>
          <w:szCs w:val="21"/>
        </w:rPr>
        <w:tab/>
        <w:t xml:space="preserve">Is a good way to gather information about a person that can be used to build their Vocational Profile; </w:t>
      </w:r>
    </w:p>
    <w:p w14:paraId="0BF6BC76" w14:textId="7F58168D" w:rsidR="00AA271F" w:rsidRPr="004C24CA" w:rsidRDefault="00AA271F" w:rsidP="004C24CA">
      <w:pPr>
        <w:autoSpaceDE w:val="0"/>
        <w:autoSpaceDN w:val="0"/>
        <w:adjustRightInd w:val="0"/>
        <w:spacing w:line="276" w:lineRule="auto"/>
        <w:ind w:left="720" w:hanging="360"/>
        <w:rPr>
          <w:rFonts w:asciiTheme="minorHAnsi" w:hAnsiTheme="minorHAnsi" w:cstheme="minorHAnsi"/>
          <w:color w:val="000000"/>
          <w:szCs w:val="21"/>
        </w:rPr>
      </w:pPr>
      <w:r w:rsidRPr="004C24CA">
        <w:rPr>
          <w:rFonts w:asciiTheme="minorHAnsi" w:hAnsiTheme="minorHAnsi" w:cstheme="minorHAnsi"/>
          <w:color w:val="000000"/>
          <w:szCs w:val="21"/>
        </w:rPr>
        <w:t xml:space="preserve">4) </w:t>
      </w:r>
      <w:r w:rsidRPr="004C24CA">
        <w:rPr>
          <w:rFonts w:asciiTheme="minorHAnsi" w:hAnsiTheme="minorHAnsi" w:cstheme="minorHAnsi"/>
          <w:color w:val="000000"/>
          <w:szCs w:val="21"/>
        </w:rPr>
        <w:tab/>
        <w:t>Is a safe way for potential employers to be introduced to a person with intellectual disability (Crosbie et al.</w:t>
      </w:r>
      <w:r w:rsidR="00D24A34" w:rsidRPr="004C24CA">
        <w:rPr>
          <w:rFonts w:asciiTheme="minorHAnsi" w:hAnsiTheme="minorHAnsi" w:cstheme="minorHAnsi"/>
          <w:color w:val="000000"/>
          <w:szCs w:val="21"/>
        </w:rPr>
        <w:t>,</w:t>
      </w:r>
      <w:r w:rsidRPr="004C24CA">
        <w:rPr>
          <w:rFonts w:asciiTheme="minorHAnsi" w:hAnsiTheme="minorHAnsi" w:cstheme="minorHAnsi"/>
          <w:color w:val="000000"/>
          <w:szCs w:val="21"/>
        </w:rPr>
        <w:t xml:space="preserve"> 2019, p. 38).</w:t>
      </w:r>
    </w:p>
    <w:p w14:paraId="13A8A3EE" w14:textId="77777777" w:rsidR="00AA271F" w:rsidRPr="004C24CA" w:rsidRDefault="00AA271F" w:rsidP="004C24CA">
      <w:pPr>
        <w:autoSpaceDE w:val="0"/>
        <w:autoSpaceDN w:val="0"/>
        <w:adjustRightInd w:val="0"/>
        <w:spacing w:line="276" w:lineRule="auto"/>
        <w:rPr>
          <w:rFonts w:asciiTheme="minorHAnsi" w:hAnsiTheme="minorHAnsi" w:cstheme="minorHAnsi"/>
          <w:szCs w:val="21"/>
        </w:rPr>
      </w:pPr>
      <w:r w:rsidRPr="004C24CA">
        <w:rPr>
          <w:rFonts w:asciiTheme="minorHAnsi" w:hAnsiTheme="minorHAnsi" w:cstheme="minorHAnsi"/>
          <w:szCs w:val="21"/>
        </w:rPr>
        <w:t>Work experience is also valuable for older people with intellectual disability, even after they have left school. One Australian study of people with intellectual disability found that work experience was the most common preparatory activity that led to employment for the older adults they interviewed. Work experience was found to provide connections and experience that resulted in future work, frequently with the same employer who had offered work experience (Meltzer et al., 2016). The research included multiple case studies of mature aged people with intellectual disability and the outcomes of their work experience, for example:</w:t>
      </w:r>
    </w:p>
    <w:p w14:paraId="47A5A99E" w14:textId="77777777" w:rsidR="00AA271F" w:rsidRPr="004C24CA" w:rsidRDefault="00AA271F" w:rsidP="004C24CA">
      <w:pPr>
        <w:tabs>
          <w:tab w:val="left" w:pos="8640"/>
        </w:tabs>
        <w:autoSpaceDE w:val="0"/>
        <w:autoSpaceDN w:val="0"/>
        <w:adjustRightInd w:val="0"/>
        <w:spacing w:line="276" w:lineRule="auto"/>
        <w:ind w:left="360" w:right="360"/>
        <w:rPr>
          <w:rFonts w:asciiTheme="minorHAnsi" w:hAnsiTheme="minorHAnsi" w:cstheme="minorHAnsi"/>
          <w:szCs w:val="21"/>
        </w:rPr>
      </w:pPr>
      <w:r w:rsidRPr="004C24CA">
        <w:rPr>
          <w:rFonts w:asciiTheme="minorHAnsi" w:hAnsiTheme="minorHAnsi" w:cstheme="minorHAnsi"/>
          <w:szCs w:val="21"/>
        </w:rPr>
        <w:t xml:space="preserve">I started work experience here and then I started working here (25-year-old man, regional, working in a social enterprise plant nursery). </w:t>
      </w:r>
    </w:p>
    <w:p w14:paraId="3968E92B" w14:textId="47F4415C" w:rsidR="00AA271F" w:rsidRPr="004C24CA" w:rsidRDefault="00AA271F" w:rsidP="004C24CA">
      <w:pPr>
        <w:tabs>
          <w:tab w:val="left" w:pos="8640"/>
        </w:tabs>
        <w:autoSpaceDE w:val="0"/>
        <w:autoSpaceDN w:val="0"/>
        <w:adjustRightInd w:val="0"/>
        <w:spacing w:line="276" w:lineRule="auto"/>
        <w:ind w:left="360" w:right="360"/>
        <w:rPr>
          <w:rFonts w:asciiTheme="minorHAnsi" w:hAnsiTheme="minorHAnsi" w:cstheme="minorHAnsi"/>
          <w:szCs w:val="21"/>
        </w:rPr>
      </w:pPr>
      <w:r w:rsidRPr="004C24CA">
        <w:rPr>
          <w:rFonts w:asciiTheme="minorHAnsi" w:hAnsiTheme="minorHAnsi" w:cstheme="minorHAnsi"/>
          <w:szCs w:val="21"/>
        </w:rPr>
        <w:t>That’s when I came here for work experience. After that I got the job (34-year-old woman, regional, working in a social enterprise plant nursery) (Meltzer et al., 2016, p.</w:t>
      </w:r>
      <w:r w:rsidR="00463606" w:rsidRPr="004C24CA">
        <w:rPr>
          <w:rFonts w:asciiTheme="minorHAnsi" w:hAnsiTheme="minorHAnsi" w:cstheme="minorHAnsi"/>
          <w:szCs w:val="21"/>
        </w:rPr>
        <w:t xml:space="preserve"> </w:t>
      </w:r>
      <w:r w:rsidRPr="004C24CA">
        <w:rPr>
          <w:rFonts w:asciiTheme="minorHAnsi" w:hAnsiTheme="minorHAnsi" w:cstheme="minorHAnsi"/>
          <w:szCs w:val="21"/>
        </w:rPr>
        <w:t>20)</w:t>
      </w:r>
      <w:r w:rsidR="00FB48BE">
        <w:rPr>
          <w:rFonts w:asciiTheme="minorHAnsi" w:hAnsiTheme="minorHAnsi" w:cstheme="minorHAnsi"/>
          <w:szCs w:val="21"/>
        </w:rPr>
        <w:t>.</w:t>
      </w:r>
    </w:p>
    <w:p w14:paraId="08C5D723" w14:textId="45D27D6F" w:rsidR="00AA271F" w:rsidRPr="004C24CA" w:rsidRDefault="00AA271F" w:rsidP="004C24CA">
      <w:pPr>
        <w:tabs>
          <w:tab w:val="left" w:pos="8640"/>
        </w:tabs>
        <w:autoSpaceDE w:val="0"/>
        <w:autoSpaceDN w:val="0"/>
        <w:adjustRightInd w:val="0"/>
        <w:spacing w:line="276" w:lineRule="auto"/>
        <w:ind w:right="360"/>
        <w:rPr>
          <w:rFonts w:asciiTheme="minorHAnsi" w:hAnsiTheme="minorHAnsi" w:cstheme="minorHAnsi"/>
          <w:szCs w:val="21"/>
        </w:rPr>
      </w:pPr>
      <w:r w:rsidRPr="004C24CA">
        <w:rPr>
          <w:rFonts w:asciiTheme="minorHAnsi" w:hAnsiTheme="minorHAnsi" w:cstheme="minorHAnsi"/>
          <w:szCs w:val="21"/>
        </w:rPr>
        <w:t xml:space="preserve">In a study of students with intellectual disability attending post-secondary education in the US (in Universities and colleges), students identified that paid on-the-job training was </w:t>
      </w:r>
      <w:r w:rsidR="001722B7" w:rsidRPr="004C24CA">
        <w:rPr>
          <w:rFonts w:asciiTheme="minorHAnsi" w:hAnsiTheme="minorHAnsi" w:cstheme="minorHAnsi"/>
          <w:szCs w:val="21"/>
        </w:rPr>
        <w:t>“</w:t>
      </w:r>
      <w:r w:rsidRPr="004C24CA">
        <w:rPr>
          <w:rFonts w:asciiTheme="minorHAnsi" w:hAnsiTheme="minorHAnsi" w:cstheme="minorHAnsi"/>
          <w:szCs w:val="21"/>
        </w:rPr>
        <w:t>one of the most important aspects of vocational training that allows them to be much better prepared for attaining successful post-graduation employment</w:t>
      </w:r>
      <w:r w:rsidR="001722B7" w:rsidRPr="004C24CA">
        <w:rPr>
          <w:rFonts w:asciiTheme="minorHAnsi" w:hAnsiTheme="minorHAnsi" w:cstheme="minorHAnsi"/>
          <w:szCs w:val="21"/>
        </w:rPr>
        <w:t>”</w:t>
      </w:r>
      <w:r w:rsidRPr="004C24CA">
        <w:rPr>
          <w:rFonts w:asciiTheme="minorHAnsi" w:hAnsiTheme="minorHAnsi" w:cstheme="minorHAnsi"/>
          <w:szCs w:val="21"/>
        </w:rPr>
        <w:t xml:space="preserve"> (</w:t>
      </w:r>
      <w:proofErr w:type="spellStart"/>
      <w:r w:rsidRPr="004C24CA">
        <w:rPr>
          <w:rFonts w:asciiTheme="minorHAnsi" w:hAnsiTheme="minorHAnsi" w:cstheme="minorHAnsi"/>
          <w:szCs w:val="21"/>
        </w:rPr>
        <w:t>Petcu</w:t>
      </w:r>
      <w:proofErr w:type="spellEnd"/>
      <w:r w:rsidRPr="004C24CA">
        <w:rPr>
          <w:rFonts w:asciiTheme="minorHAnsi" w:hAnsiTheme="minorHAnsi" w:cstheme="minorHAnsi"/>
          <w:szCs w:val="21"/>
        </w:rPr>
        <w:t xml:space="preserve"> et al., 2015, p.</w:t>
      </w:r>
      <w:r w:rsidR="009B1FC4" w:rsidRPr="004C24CA">
        <w:rPr>
          <w:rFonts w:asciiTheme="minorHAnsi" w:hAnsiTheme="minorHAnsi" w:cstheme="minorHAnsi"/>
          <w:szCs w:val="21"/>
        </w:rPr>
        <w:t xml:space="preserve"> </w:t>
      </w:r>
      <w:r w:rsidRPr="004C24CA">
        <w:rPr>
          <w:rFonts w:asciiTheme="minorHAnsi" w:hAnsiTheme="minorHAnsi" w:cstheme="minorHAnsi"/>
          <w:szCs w:val="21"/>
        </w:rPr>
        <w:t>367).</w:t>
      </w:r>
    </w:p>
    <w:p w14:paraId="28DB1C41" w14:textId="77777777" w:rsidR="00AA271F" w:rsidRPr="004C24CA" w:rsidRDefault="00AA271F" w:rsidP="004C24CA">
      <w:pPr>
        <w:pStyle w:val="Heading2"/>
      </w:pPr>
      <w:bookmarkStart w:id="106" w:name="_Toc49417932"/>
      <w:r w:rsidRPr="004C24CA">
        <w:t>The problem</w:t>
      </w:r>
      <w:bookmarkEnd w:id="106"/>
    </w:p>
    <w:p w14:paraId="78D7A87A" w14:textId="1794E335" w:rsidR="00AA271F" w:rsidRPr="004C24CA" w:rsidRDefault="00AA271F" w:rsidP="004C24CA">
      <w:pPr>
        <w:spacing w:line="276" w:lineRule="auto"/>
        <w:rPr>
          <w:rFonts w:asciiTheme="minorHAnsi" w:hAnsiTheme="minorHAnsi" w:cstheme="minorHAnsi"/>
          <w:szCs w:val="21"/>
        </w:rPr>
      </w:pPr>
      <w:r w:rsidRPr="004C24CA">
        <w:rPr>
          <w:rFonts w:asciiTheme="minorHAnsi" w:hAnsiTheme="minorHAnsi" w:cstheme="minorHAnsi"/>
          <w:szCs w:val="21"/>
        </w:rPr>
        <w:t xml:space="preserve">However, in general, there are fewer opportunities available for people with disability to gain work experience (Wakeford &amp; Waugh, 2014). People with disability often miss out on early opportunities to gain paid or unpaid work experience, for example, when they are at school (ARTD Consultants, 2019; Carter et al., 2017; Honey et al., 2014; </w:t>
      </w:r>
      <w:proofErr w:type="spellStart"/>
      <w:r w:rsidRPr="004C24CA">
        <w:rPr>
          <w:rFonts w:asciiTheme="minorHAnsi" w:hAnsiTheme="minorHAnsi" w:cstheme="minorHAnsi"/>
          <w:szCs w:val="21"/>
        </w:rPr>
        <w:t>Luecking</w:t>
      </w:r>
      <w:proofErr w:type="spellEnd"/>
      <w:r w:rsidRPr="004C24CA">
        <w:rPr>
          <w:rFonts w:asciiTheme="minorHAnsi" w:hAnsiTheme="minorHAnsi" w:cstheme="minorHAnsi"/>
          <w:szCs w:val="21"/>
        </w:rPr>
        <w:t xml:space="preserve"> &amp; </w:t>
      </w:r>
      <w:proofErr w:type="spellStart"/>
      <w:r w:rsidRPr="004C24CA">
        <w:rPr>
          <w:rFonts w:asciiTheme="minorHAnsi" w:hAnsiTheme="minorHAnsi" w:cstheme="minorHAnsi"/>
          <w:szCs w:val="21"/>
        </w:rPr>
        <w:t>Luecking</w:t>
      </w:r>
      <w:proofErr w:type="spellEnd"/>
      <w:r w:rsidRPr="004C24CA">
        <w:rPr>
          <w:rFonts w:asciiTheme="minorHAnsi" w:hAnsiTheme="minorHAnsi" w:cstheme="minorHAnsi"/>
          <w:szCs w:val="21"/>
        </w:rPr>
        <w:t xml:space="preserve">, 2006), and many people with intellectual disability have had little or no work experience by the time they finish school (ARTD Consultants, 2019; Brown et al., 2018). One </w:t>
      </w:r>
      <w:r w:rsidR="001722B7" w:rsidRPr="004C24CA">
        <w:rPr>
          <w:rFonts w:asciiTheme="minorHAnsi" w:hAnsiTheme="minorHAnsi" w:cstheme="minorHAnsi"/>
          <w:szCs w:val="21"/>
        </w:rPr>
        <w:t>Queensland</w:t>
      </w:r>
      <w:r w:rsidRPr="004C24CA">
        <w:rPr>
          <w:rFonts w:asciiTheme="minorHAnsi" w:hAnsiTheme="minorHAnsi" w:cstheme="minorHAnsi"/>
          <w:szCs w:val="21"/>
        </w:rPr>
        <w:t xml:space="preserve"> study of students with intellectual disability found that nearly one third of students had not received work experience whilst in school (Davies &amp; Beamish, 2009).</w:t>
      </w:r>
    </w:p>
    <w:p w14:paraId="2AF360C4" w14:textId="77777777" w:rsidR="002D195D" w:rsidRPr="004C24CA" w:rsidRDefault="002D195D" w:rsidP="004C24CA">
      <w:pPr>
        <w:spacing w:line="276" w:lineRule="auto"/>
        <w:rPr>
          <w:rFonts w:asciiTheme="minorHAnsi" w:hAnsiTheme="minorHAnsi" w:cstheme="minorHAnsi"/>
          <w:szCs w:val="21"/>
        </w:rPr>
      </w:pPr>
    </w:p>
    <w:p w14:paraId="04673960" w14:textId="77777777" w:rsidR="00AA271F" w:rsidRPr="004C24CA" w:rsidRDefault="00AA271F" w:rsidP="004C24CA">
      <w:pPr>
        <w:pStyle w:val="Default"/>
        <w:spacing w:before="120" w:line="276" w:lineRule="auto"/>
        <w:rPr>
          <w:rFonts w:asciiTheme="minorHAnsi" w:hAnsiTheme="minorHAnsi" w:cstheme="minorHAnsi"/>
          <w:sz w:val="21"/>
          <w:szCs w:val="21"/>
        </w:rPr>
      </w:pPr>
      <w:r w:rsidRPr="004C24CA">
        <w:rPr>
          <w:rFonts w:asciiTheme="minorHAnsi" w:hAnsiTheme="minorHAnsi" w:cstheme="minorHAnsi"/>
          <w:sz w:val="21"/>
          <w:szCs w:val="21"/>
        </w:rPr>
        <w:lastRenderedPageBreak/>
        <w:t>Lack of access to work experience for people with intellectual disability is particularly critical. Given that many people with intellectual disability learn well while ‘doing’ or in situ (Crawford, 2011), lack of access to work experience means they lack opportunities to learn skills relevant to work, and to build their knowledge of workplaces and of their own interests (ARTD Consultants, 2019; Lee et al., 2019).</w:t>
      </w:r>
    </w:p>
    <w:p w14:paraId="0710BE78" w14:textId="77777777" w:rsidR="00AA271F" w:rsidRPr="004C24CA" w:rsidRDefault="00AA271F" w:rsidP="004C24CA">
      <w:pPr>
        <w:pStyle w:val="Default"/>
        <w:spacing w:before="120" w:line="276" w:lineRule="auto"/>
        <w:rPr>
          <w:rFonts w:asciiTheme="minorHAnsi" w:hAnsiTheme="minorHAnsi" w:cstheme="minorHAnsi"/>
          <w:sz w:val="21"/>
          <w:szCs w:val="21"/>
        </w:rPr>
      </w:pPr>
    </w:p>
    <w:p w14:paraId="2867A39D" w14:textId="77777777" w:rsidR="00AA271F" w:rsidRPr="003D3DFB" w:rsidRDefault="00AA271F" w:rsidP="003D3DFB">
      <w:pPr>
        <w:pStyle w:val="Heading2"/>
      </w:pPr>
      <w:bookmarkStart w:id="107" w:name="_Toc49417933"/>
      <w:r w:rsidRPr="003D3DFB">
        <w:t>What works as a solution?</w:t>
      </w:r>
      <w:bookmarkEnd w:id="107"/>
    </w:p>
    <w:p w14:paraId="2AFC8358" w14:textId="78C12F56" w:rsidR="00AA271F" w:rsidRPr="004C24CA" w:rsidRDefault="00AA271F" w:rsidP="004C24CA">
      <w:pPr>
        <w:pStyle w:val="ListParagraph"/>
        <w:numPr>
          <w:ilvl w:val="0"/>
          <w:numId w:val="38"/>
        </w:numPr>
        <w:autoSpaceDE w:val="0"/>
        <w:autoSpaceDN w:val="0"/>
        <w:adjustRightInd w:val="0"/>
        <w:spacing w:line="276" w:lineRule="auto"/>
        <w:ind w:left="360"/>
        <w:rPr>
          <w:rFonts w:asciiTheme="minorHAnsi" w:hAnsiTheme="minorHAnsi" w:cstheme="minorHAnsi"/>
          <w:color w:val="000000"/>
          <w:szCs w:val="21"/>
        </w:rPr>
      </w:pPr>
      <w:r w:rsidRPr="004C24CA">
        <w:rPr>
          <w:rFonts w:asciiTheme="minorHAnsi" w:hAnsiTheme="minorHAnsi" w:cstheme="minorHAnsi"/>
          <w:szCs w:val="21"/>
        </w:rPr>
        <w:t xml:space="preserve">Get work experience </w:t>
      </w:r>
      <w:r w:rsidRPr="004C24CA">
        <w:rPr>
          <w:rFonts w:asciiTheme="minorHAnsi" w:hAnsiTheme="minorHAnsi" w:cstheme="minorHAnsi"/>
          <w:i/>
          <w:iCs/>
          <w:szCs w:val="21"/>
        </w:rPr>
        <w:t>early</w:t>
      </w:r>
      <w:r w:rsidRPr="004C24CA">
        <w:rPr>
          <w:rFonts w:asciiTheme="minorHAnsi" w:hAnsiTheme="minorHAnsi" w:cstheme="minorHAnsi"/>
          <w:szCs w:val="21"/>
        </w:rPr>
        <w:t>, before leaving secondary school (</w:t>
      </w:r>
      <w:proofErr w:type="spellStart"/>
      <w:r w:rsidRPr="004C24CA">
        <w:rPr>
          <w:rFonts w:asciiTheme="minorHAnsi" w:hAnsiTheme="minorHAnsi" w:cstheme="minorHAnsi"/>
          <w:szCs w:val="21"/>
        </w:rPr>
        <w:t>Molfenter</w:t>
      </w:r>
      <w:proofErr w:type="spellEnd"/>
      <w:r w:rsidRPr="004C24CA">
        <w:rPr>
          <w:rFonts w:asciiTheme="minorHAnsi" w:hAnsiTheme="minorHAnsi" w:cstheme="minorHAnsi"/>
          <w:szCs w:val="21"/>
        </w:rPr>
        <w:t xml:space="preserve"> et al</w:t>
      </w:r>
      <w:r w:rsidR="002645F5" w:rsidRPr="004C24CA">
        <w:rPr>
          <w:rFonts w:asciiTheme="minorHAnsi" w:hAnsiTheme="minorHAnsi" w:cstheme="minorHAnsi"/>
          <w:szCs w:val="21"/>
        </w:rPr>
        <w:t>.</w:t>
      </w:r>
      <w:r w:rsidRPr="004C24CA">
        <w:rPr>
          <w:rFonts w:asciiTheme="minorHAnsi" w:hAnsiTheme="minorHAnsi" w:cstheme="minorHAnsi"/>
          <w:szCs w:val="21"/>
        </w:rPr>
        <w:t xml:space="preserve">, 2017; Wakeford &amp; Waugh, 2014). </w:t>
      </w:r>
    </w:p>
    <w:p w14:paraId="3447A17C" w14:textId="77777777" w:rsidR="00AA271F" w:rsidRPr="004C24CA" w:rsidRDefault="00AA271F" w:rsidP="004C24CA">
      <w:pPr>
        <w:pStyle w:val="ListParagraph"/>
        <w:numPr>
          <w:ilvl w:val="0"/>
          <w:numId w:val="38"/>
        </w:numPr>
        <w:autoSpaceDE w:val="0"/>
        <w:autoSpaceDN w:val="0"/>
        <w:adjustRightInd w:val="0"/>
        <w:spacing w:line="276" w:lineRule="auto"/>
        <w:ind w:left="360"/>
        <w:rPr>
          <w:rFonts w:asciiTheme="minorHAnsi" w:hAnsiTheme="minorHAnsi" w:cstheme="minorHAnsi"/>
          <w:color w:val="000000"/>
          <w:szCs w:val="21"/>
        </w:rPr>
      </w:pPr>
      <w:r w:rsidRPr="004C24CA">
        <w:rPr>
          <w:rFonts w:asciiTheme="minorHAnsi" w:hAnsiTheme="minorHAnsi" w:cstheme="minorHAnsi"/>
          <w:szCs w:val="21"/>
        </w:rPr>
        <w:t>Regardless of age or stage of life, explore a wide range of work experience options.</w:t>
      </w:r>
    </w:p>
    <w:p w14:paraId="3B0AD5B5" w14:textId="77777777" w:rsidR="00AA271F" w:rsidRPr="004C24CA" w:rsidRDefault="00AA271F" w:rsidP="004C24CA">
      <w:pPr>
        <w:pStyle w:val="ListParagraph"/>
        <w:numPr>
          <w:ilvl w:val="0"/>
          <w:numId w:val="38"/>
        </w:numPr>
        <w:autoSpaceDE w:val="0"/>
        <w:autoSpaceDN w:val="0"/>
        <w:adjustRightInd w:val="0"/>
        <w:spacing w:line="276" w:lineRule="auto"/>
        <w:ind w:left="360"/>
        <w:rPr>
          <w:rFonts w:asciiTheme="minorHAnsi" w:hAnsiTheme="minorHAnsi" w:cstheme="minorHAnsi"/>
          <w:color w:val="000000"/>
          <w:szCs w:val="21"/>
        </w:rPr>
      </w:pPr>
      <w:r w:rsidRPr="004C24CA">
        <w:rPr>
          <w:rFonts w:asciiTheme="minorHAnsi" w:hAnsiTheme="minorHAnsi" w:cstheme="minorHAnsi"/>
          <w:color w:val="000000"/>
          <w:szCs w:val="21"/>
        </w:rPr>
        <w:t>Expand work experience opportunities by getting tailored support. Support can include:</w:t>
      </w:r>
    </w:p>
    <w:p w14:paraId="29B55B6B" w14:textId="6344BDA4" w:rsidR="00AA271F" w:rsidRPr="004C24CA" w:rsidRDefault="00AA271F" w:rsidP="004C24CA">
      <w:pPr>
        <w:pStyle w:val="ListParagraph"/>
        <w:numPr>
          <w:ilvl w:val="1"/>
          <w:numId w:val="38"/>
        </w:numPr>
        <w:autoSpaceDE w:val="0"/>
        <w:autoSpaceDN w:val="0"/>
        <w:adjustRightInd w:val="0"/>
        <w:spacing w:line="276" w:lineRule="auto"/>
        <w:rPr>
          <w:rFonts w:asciiTheme="minorHAnsi" w:hAnsiTheme="minorHAnsi" w:cstheme="minorHAnsi"/>
          <w:color w:val="000000"/>
          <w:szCs w:val="21"/>
        </w:rPr>
      </w:pPr>
      <w:r w:rsidRPr="004C24CA">
        <w:rPr>
          <w:rFonts w:asciiTheme="minorHAnsi" w:hAnsiTheme="minorHAnsi" w:cstheme="minorHAnsi"/>
          <w:color w:val="000000"/>
          <w:szCs w:val="21"/>
        </w:rPr>
        <w:t xml:space="preserve">Discovery and Vocational Profiling. This is a </w:t>
      </w:r>
      <w:r w:rsidR="00825E66" w:rsidRPr="004C24CA">
        <w:rPr>
          <w:rFonts w:asciiTheme="minorHAnsi" w:hAnsiTheme="minorHAnsi" w:cstheme="minorHAnsi"/>
          <w:color w:val="000000"/>
          <w:szCs w:val="21"/>
        </w:rPr>
        <w:t>“</w:t>
      </w:r>
      <w:r w:rsidRPr="004C24CA">
        <w:rPr>
          <w:rFonts w:asciiTheme="minorHAnsi" w:hAnsiTheme="minorHAnsi" w:cstheme="minorHAnsi"/>
          <w:szCs w:val="21"/>
        </w:rPr>
        <w:t>person-centered exploration of an individual’s strengths, preferences, interests, and needs</w:t>
      </w:r>
      <w:r w:rsidR="00825E66" w:rsidRPr="004C24CA">
        <w:rPr>
          <w:rFonts w:asciiTheme="minorHAnsi" w:hAnsiTheme="minorHAnsi" w:cstheme="minorHAnsi"/>
          <w:szCs w:val="21"/>
        </w:rPr>
        <w:t>”</w:t>
      </w:r>
      <w:r w:rsidRPr="004C24CA">
        <w:rPr>
          <w:rFonts w:asciiTheme="minorHAnsi" w:hAnsiTheme="minorHAnsi" w:cstheme="minorHAnsi"/>
          <w:szCs w:val="21"/>
        </w:rPr>
        <w:t xml:space="preserve"> (</w:t>
      </w:r>
      <w:proofErr w:type="spellStart"/>
      <w:r w:rsidRPr="004C24CA">
        <w:rPr>
          <w:rFonts w:asciiTheme="minorHAnsi" w:hAnsiTheme="minorHAnsi" w:cstheme="minorHAnsi"/>
          <w:szCs w:val="21"/>
        </w:rPr>
        <w:t>Wehman</w:t>
      </w:r>
      <w:proofErr w:type="spellEnd"/>
      <w:r w:rsidRPr="004C24CA">
        <w:rPr>
          <w:rFonts w:asciiTheme="minorHAnsi" w:hAnsiTheme="minorHAnsi" w:cstheme="minorHAnsi"/>
          <w:szCs w:val="21"/>
        </w:rPr>
        <w:t xml:space="preserve"> et al., 2018, p.</w:t>
      </w:r>
      <w:r w:rsidR="00AA1A2D" w:rsidRPr="004C24CA">
        <w:rPr>
          <w:rFonts w:asciiTheme="minorHAnsi" w:hAnsiTheme="minorHAnsi" w:cstheme="minorHAnsi"/>
          <w:szCs w:val="21"/>
        </w:rPr>
        <w:t xml:space="preserve"> </w:t>
      </w:r>
      <w:r w:rsidRPr="004C24CA">
        <w:rPr>
          <w:rFonts w:asciiTheme="minorHAnsi" w:hAnsiTheme="minorHAnsi" w:cstheme="minorHAnsi"/>
          <w:szCs w:val="21"/>
        </w:rPr>
        <w:t xml:space="preserve">134). This might involve vocational assessments as well as discussions with the person, their family and friends. It is a standard feature of the </w:t>
      </w:r>
      <w:proofErr w:type="spellStart"/>
      <w:r w:rsidRPr="004C24CA">
        <w:rPr>
          <w:rFonts w:asciiTheme="minorHAnsi" w:hAnsiTheme="minorHAnsi" w:cstheme="minorHAnsi"/>
          <w:szCs w:val="21"/>
        </w:rPr>
        <w:t>customi</w:t>
      </w:r>
      <w:r w:rsidR="00717894" w:rsidRPr="004C24CA">
        <w:rPr>
          <w:rFonts w:asciiTheme="minorHAnsi" w:hAnsiTheme="minorHAnsi" w:cstheme="minorHAnsi"/>
          <w:szCs w:val="21"/>
        </w:rPr>
        <w:t>s</w:t>
      </w:r>
      <w:r w:rsidRPr="004C24CA">
        <w:rPr>
          <w:rFonts w:asciiTheme="minorHAnsi" w:hAnsiTheme="minorHAnsi" w:cstheme="minorHAnsi"/>
          <w:szCs w:val="21"/>
        </w:rPr>
        <w:t>ed</w:t>
      </w:r>
      <w:proofErr w:type="spellEnd"/>
      <w:r w:rsidRPr="004C24CA">
        <w:rPr>
          <w:rFonts w:asciiTheme="minorHAnsi" w:hAnsiTheme="minorHAnsi" w:cstheme="minorHAnsi"/>
          <w:szCs w:val="21"/>
        </w:rPr>
        <w:t xml:space="preserve"> employment approach (</w:t>
      </w:r>
      <w:proofErr w:type="spellStart"/>
      <w:r w:rsidRPr="004C24CA">
        <w:rPr>
          <w:rFonts w:asciiTheme="minorHAnsi" w:hAnsiTheme="minorHAnsi" w:cstheme="minorHAnsi"/>
          <w:szCs w:val="21"/>
        </w:rPr>
        <w:t>Wehman</w:t>
      </w:r>
      <w:proofErr w:type="spellEnd"/>
      <w:r w:rsidRPr="004C24CA">
        <w:rPr>
          <w:rFonts w:asciiTheme="minorHAnsi" w:hAnsiTheme="minorHAnsi" w:cstheme="minorHAnsi"/>
          <w:szCs w:val="21"/>
        </w:rPr>
        <w:t xml:space="preserve"> et al., 2018).</w:t>
      </w:r>
    </w:p>
    <w:p w14:paraId="2D80E978" w14:textId="03227EE6" w:rsidR="00AA271F" w:rsidRPr="004C24CA" w:rsidRDefault="00AA271F" w:rsidP="004C24CA">
      <w:pPr>
        <w:pStyle w:val="ListParagraph"/>
        <w:numPr>
          <w:ilvl w:val="1"/>
          <w:numId w:val="38"/>
        </w:numPr>
        <w:autoSpaceDE w:val="0"/>
        <w:autoSpaceDN w:val="0"/>
        <w:adjustRightInd w:val="0"/>
        <w:spacing w:line="276" w:lineRule="auto"/>
        <w:rPr>
          <w:rFonts w:asciiTheme="minorHAnsi" w:hAnsiTheme="minorHAnsi" w:cstheme="minorHAnsi"/>
          <w:color w:val="000000"/>
          <w:szCs w:val="21"/>
        </w:rPr>
      </w:pPr>
      <w:r w:rsidRPr="004C24CA">
        <w:rPr>
          <w:rFonts w:asciiTheme="minorHAnsi" w:hAnsiTheme="minorHAnsi" w:cstheme="minorHAnsi"/>
          <w:color w:val="000000"/>
          <w:szCs w:val="21"/>
        </w:rPr>
        <w:t xml:space="preserve">The provision of onsite supports to </w:t>
      </w:r>
      <w:proofErr w:type="spellStart"/>
      <w:r w:rsidRPr="004C24CA">
        <w:rPr>
          <w:rFonts w:asciiTheme="minorHAnsi" w:hAnsiTheme="minorHAnsi" w:cstheme="minorHAnsi"/>
          <w:color w:val="000000"/>
          <w:szCs w:val="21"/>
        </w:rPr>
        <w:t>maximise</w:t>
      </w:r>
      <w:proofErr w:type="spellEnd"/>
      <w:r w:rsidRPr="004C24CA">
        <w:rPr>
          <w:rFonts w:asciiTheme="minorHAnsi" w:hAnsiTheme="minorHAnsi" w:cstheme="minorHAnsi"/>
          <w:color w:val="000000"/>
          <w:szCs w:val="21"/>
        </w:rPr>
        <w:t xml:space="preserve"> opportunities for success (for example, on-site training, job coaching, </w:t>
      </w:r>
      <w:proofErr w:type="spellStart"/>
      <w:r w:rsidRPr="004C24CA">
        <w:rPr>
          <w:rFonts w:asciiTheme="minorHAnsi" w:hAnsiTheme="minorHAnsi" w:cstheme="minorHAnsi"/>
          <w:color w:val="000000"/>
          <w:szCs w:val="21"/>
        </w:rPr>
        <w:t>customi</w:t>
      </w:r>
      <w:r w:rsidR="00717894" w:rsidRPr="004C24CA">
        <w:rPr>
          <w:rFonts w:asciiTheme="minorHAnsi" w:hAnsiTheme="minorHAnsi" w:cstheme="minorHAnsi"/>
          <w:color w:val="000000"/>
          <w:szCs w:val="21"/>
        </w:rPr>
        <w:t>s</w:t>
      </w:r>
      <w:r w:rsidRPr="004C24CA">
        <w:rPr>
          <w:rFonts w:asciiTheme="minorHAnsi" w:hAnsiTheme="minorHAnsi" w:cstheme="minorHAnsi"/>
          <w:color w:val="000000"/>
          <w:szCs w:val="21"/>
        </w:rPr>
        <w:t>ation</w:t>
      </w:r>
      <w:proofErr w:type="spellEnd"/>
      <w:r w:rsidRPr="004C24CA">
        <w:rPr>
          <w:rFonts w:asciiTheme="minorHAnsi" w:hAnsiTheme="minorHAnsi" w:cstheme="minorHAnsi"/>
          <w:color w:val="000000"/>
          <w:szCs w:val="21"/>
        </w:rPr>
        <w:t xml:space="preserve"> of job tasks, personal care support, travel training, assistive technology etc.) (</w:t>
      </w:r>
      <w:proofErr w:type="spellStart"/>
      <w:r w:rsidRPr="004C24CA">
        <w:rPr>
          <w:rFonts w:asciiTheme="minorHAnsi" w:hAnsiTheme="minorHAnsi" w:cstheme="minorHAnsi"/>
          <w:color w:val="000000"/>
          <w:szCs w:val="21"/>
        </w:rPr>
        <w:t>Petcu</w:t>
      </w:r>
      <w:proofErr w:type="spellEnd"/>
      <w:r w:rsidRPr="004C24CA">
        <w:rPr>
          <w:rFonts w:asciiTheme="minorHAnsi" w:hAnsiTheme="minorHAnsi" w:cstheme="minorHAnsi"/>
          <w:color w:val="000000"/>
          <w:szCs w:val="21"/>
        </w:rPr>
        <w:t xml:space="preserve"> et al., 2015; </w:t>
      </w:r>
      <w:proofErr w:type="spellStart"/>
      <w:r w:rsidRPr="004C24CA">
        <w:rPr>
          <w:rFonts w:asciiTheme="minorHAnsi" w:hAnsiTheme="minorHAnsi" w:cstheme="minorHAnsi"/>
          <w:color w:val="000000"/>
          <w:szCs w:val="21"/>
        </w:rPr>
        <w:t>Scheef</w:t>
      </w:r>
      <w:proofErr w:type="spellEnd"/>
      <w:r w:rsidRPr="004C24CA">
        <w:rPr>
          <w:rFonts w:asciiTheme="minorHAnsi" w:hAnsiTheme="minorHAnsi" w:cstheme="minorHAnsi"/>
          <w:color w:val="000000"/>
          <w:szCs w:val="21"/>
        </w:rPr>
        <w:t>, 2019).</w:t>
      </w:r>
    </w:p>
    <w:p w14:paraId="45897304" w14:textId="27113D95" w:rsidR="00AA271F" w:rsidRPr="004C24CA" w:rsidRDefault="00AA271F" w:rsidP="004C24CA">
      <w:pPr>
        <w:pStyle w:val="ListParagraph"/>
        <w:numPr>
          <w:ilvl w:val="1"/>
          <w:numId w:val="38"/>
        </w:numPr>
        <w:autoSpaceDE w:val="0"/>
        <w:autoSpaceDN w:val="0"/>
        <w:adjustRightInd w:val="0"/>
        <w:spacing w:line="276" w:lineRule="auto"/>
        <w:rPr>
          <w:rFonts w:asciiTheme="minorHAnsi" w:hAnsiTheme="minorHAnsi" w:cstheme="minorHAnsi"/>
          <w:color w:val="000000"/>
          <w:szCs w:val="21"/>
        </w:rPr>
      </w:pPr>
      <w:r w:rsidRPr="004C24CA">
        <w:rPr>
          <w:rFonts w:asciiTheme="minorHAnsi" w:hAnsiTheme="minorHAnsi" w:cstheme="minorHAnsi"/>
          <w:color w:val="000000"/>
          <w:szCs w:val="21"/>
        </w:rPr>
        <w:t xml:space="preserve">Programs that incorporate work experience into the final years of school, vocational training or tertiary education. These models show positive employment outcomes for participants (ARTD Consultants, 2019; Lee et al., 2019; </w:t>
      </w:r>
      <w:r w:rsidRPr="004C24CA">
        <w:rPr>
          <w:rFonts w:asciiTheme="minorHAnsi" w:hAnsiTheme="minorHAnsi" w:cstheme="minorHAnsi"/>
          <w:szCs w:val="21"/>
        </w:rPr>
        <w:t xml:space="preserve">White et al., 2019; Wakeford &amp; Waugh, 2014; </w:t>
      </w:r>
      <w:proofErr w:type="spellStart"/>
      <w:r w:rsidRPr="004C24CA">
        <w:rPr>
          <w:rFonts w:asciiTheme="minorHAnsi" w:hAnsiTheme="minorHAnsi" w:cstheme="minorHAnsi"/>
          <w:szCs w:val="21"/>
        </w:rPr>
        <w:t>Molfenter</w:t>
      </w:r>
      <w:proofErr w:type="spellEnd"/>
      <w:r w:rsidRPr="004C24CA">
        <w:rPr>
          <w:rFonts w:asciiTheme="minorHAnsi" w:hAnsiTheme="minorHAnsi" w:cstheme="minorHAnsi"/>
          <w:szCs w:val="21"/>
        </w:rPr>
        <w:t xml:space="preserve"> et al., 2017; </w:t>
      </w:r>
      <w:proofErr w:type="spellStart"/>
      <w:r w:rsidRPr="004C24CA">
        <w:rPr>
          <w:rFonts w:asciiTheme="minorHAnsi" w:hAnsiTheme="minorHAnsi" w:cstheme="minorHAnsi"/>
          <w:szCs w:val="21"/>
        </w:rPr>
        <w:t>Petcu</w:t>
      </w:r>
      <w:proofErr w:type="spellEnd"/>
      <w:r w:rsidRPr="004C24CA">
        <w:rPr>
          <w:rFonts w:asciiTheme="minorHAnsi" w:hAnsiTheme="minorHAnsi" w:cstheme="minorHAnsi"/>
          <w:szCs w:val="21"/>
        </w:rPr>
        <w:t xml:space="preserve"> et al., 2015). </w:t>
      </w:r>
      <w:r w:rsidRPr="004C24CA">
        <w:rPr>
          <w:rFonts w:asciiTheme="minorHAnsi" w:hAnsiTheme="minorHAnsi" w:cstheme="minorHAnsi"/>
          <w:color w:val="000000"/>
          <w:szCs w:val="21"/>
        </w:rPr>
        <w:t xml:space="preserve">For example: </w:t>
      </w:r>
      <w:r w:rsidRPr="004C24CA">
        <w:rPr>
          <w:rFonts w:asciiTheme="minorHAnsi" w:hAnsiTheme="minorHAnsi" w:cstheme="minorHAnsi"/>
          <w:szCs w:val="21"/>
        </w:rPr>
        <w:t>Ticket to Work</w:t>
      </w:r>
      <w:r w:rsidRPr="004C24CA">
        <w:rPr>
          <w:rStyle w:val="Hyperlink"/>
          <w:rFonts w:asciiTheme="minorHAnsi" w:hAnsiTheme="minorHAnsi" w:cstheme="minorHAnsi"/>
          <w:szCs w:val="21"/>
        </w:rPr>
        <w:t xml:space="preserve"> </w:t>
      </w:r>
      <w:r w:rsidRPr="004C24CA">
        <w:rPr>
          <w:rStyle w:val="Hyperlink"/>
          <w:rFonts w:asciiTheme="minorHAnsi" w:hAnsiTheme="minorHAnsi" w:cstheme="minorHAnsi"/>
          <w:color w:val="auto"/>
          <w:szCs w:val="21"/>
          <w:u w:val="none"/>
        </w:rPr>
        <w:t>(Wakeford &amp; Waugh, 2014)</w:t>
      </w:r>
      <w:r w:rsidRPr="004C24CA">
        <w:rPr>
          <w:rFonts w:asciiTheme="minorHAnsi" w:hAnsiTheme="minorHAnsi" w:cstheme="minorHAnsi"/>
          <w:szCs w:val="21"/>
        </w:rPr>
        <w:t xml:space="preserve">, </w:t>
      </w:r>
      <w:r w:rsidRPr="004C24CA">
        <w:rPr>
          <w:rFonts w:asciiTheme="minorHAnsi" w:hAnsiTheme="minorHAnsi" w:cstheme="minorHAnsi"/>
          <w:color w:val="000000"/>
          <w:szCs w:val="21"/>
        </w:rPr>
        <w:t>and the Integrated Practical Placement Program (IPP) (White et al., 2019).</w:t>
      </w:r>
    </w:p>
    <w:p w14:paraId="450E32CD" w14:textId="5C8764A3" w:rsidR="00AA271F" w:rsidRPr="004C24CA" w:rsidRDefault="00AA271F" w:rsidP="004C24CA">
      <w:pPr>
        <w:pStyle w:val="ListParagraph"/>
        <w:numPr>
          <w:ilvl w:val="0"/>
          <w:numId w:val="38"/>
        </w:numPr>
        <w:autoSpaceDE w:val="0"/>
        <w:autoSpaceDN w:val="0"/>
        <w:adjustRightInd w:val="0"/>
        <w:spacing w:line="276" w:lineRule="auto"/>
        <w:ind w:left="360"/>
        <w:rPr>
          <w:rFonts w:asciiTheme="minorHAnsi" w:hAnsiTheme="minorHAnsi" w:cstheme="minorHAnsi"/>
          <w:color w:val="000000"/>
          <w:szCs w:val="21"/>
        </w:rPr>
      </w:pPr>
      <w:proofErr w:type="spellStart"/>
      <w:r w:rsidRPr="004C24CA">
        <w:rPr>
          <w:rFonts w:asciiTheme="minorHAnsi" w:hAnsiTheme="minorHAnsi" w:cstheme="minorHAnsi"/>
          <w:color w:val="000000"/>
          <w:szCs w:val="21"/>
        </w:rPr>
        <w:t>Utilise</w:t>
      </w:r>
      <w:proofErr w:type="spellEnd"/>
      <w:r w:rsidRPr="004C24CA">
        <w:rPr>
          <w:rFonts w:asciiTheme="minorHAnsi" w:hAnsiTheme="minorHAnsi" w:cstheme="minorHAnsi"/>
          <w:color w:val="000000"/>
          <w:szCs w:val="21"/>
        </w:rPr>
        <w:t xml:space="preserve"> social networks to unearth opportunities for work experience. Social capital (that is, the personal and professional networks) of those in the job-seeker’s life) is a critical component of success in fostering employment. Many people with intellectual disability rely on the social networks of family and friends to link to employment opportunities (</w:t>
      </w:r>
      <w:r w:rsidRPr="004C24CA">
        <w:rPr>
          <w:rFonts w:asciiTheme="minorHAnsi" w:hAnsiTheme="minorHAnsi" w:cstheme="minorHAnsi"/>
          <w:szCs w:val="21"/>
        </w:rPr>
        <w:t xml:space="preserve">Southward &amp; </w:t>
      </w:r>
      <w:proofErr w:type="spellStart"/>
      <w:r w:rsidRPr="004C24CA">
        <w:rPr>
          <w:rFonts w:asciiTheme="minorHAnsi" w:hAnsiTheme="minorHAnsi" w:cstheme="minorHAnsi"/>
          <w:szCs w:val="21"/>
        </w:rPr>
        <w:t>Kyzar</w:t>
      </w:r>
      <w:proofErr w:type="spellEnd"/>
      <w:r w:rsidRPr="004C24CA">
        <w:rPr>
          <w:rFonts w:asciiTheme="minorHAnsi" w:hAnsiTheme="minorHAnsi" w:cstheme="minorHAnsi"/>
          <w:szCs w:val="21"/>
        </w:rPr>
        <w:t>, 2017; Meltzer et al.</w:t>
      </w:r>
      <w:r w:rsidR="00463606" w:rsidRPr="004C24CA">
        <w:rPr>
          <w:rFonts w:asciiTheme="minorHAnsi" w:hAnsiTheme="minorHAnsi" w:cstheme="minorHAnsi"/>
          <w:szCs w:val="21"/>
        </w:rPr>
        <w:t>,</w:t>
      </w:r>
      <w:r w:rsidRPr="004C24CA">
        <w:rPr>
          <w:rFonts w:asciiTheme="minorHAnsi" w:hAnsiTheme="minorHAnsi" w:cstheme="minorHAnsi"/>
          <w:szCs w:val="21"/>
        </w:rPr>
        <w:t xml:space="preserve"> 2016; Inge et al.</w:t>
      </w:r>
      <w:r w:rsidR="00F70013" w:rsidRPr="004C24CA">
        <w:rPr>
          <w:rFonts w:asciiTheme="minorHAnsi" w:hAnsiTheme="minorHAnsi" w:cstheme="minorHAnsi"/>
          <w:szCs w:val="21"/>
        </w:rPr>
        <w:t>,</w:t>
      </w:r>
      <w:r w:rsidRPr="004C24CA">
        <w:rPr>
          <w:rFonts w:asciiTheme="minorHAnsi" w:hAnsiTheme="minorHAnsi" w:cstheme="minorHAnsi"/>
          <w:szCs w:val="21"/>
        </w:rPr>
        <w:t xml:space="preserve"> 2018).Work-related circles of support have been used to generate possible work experience opportunities for people with intellectual disability (Burke &amp; Ball, n.d.; </w:t>
      </w:r>
      <w:proofErr w:type="spellStart"/>
      <w:r w:rsidRPr="004C24CA">
        <w:rPr>
          <w:rFonts w:asciiTheme="minorHAnsi" w:hAnsiTheme="minorHAnsi" w:cstheme="minorHAnsi"/>
          <w:szCs w:val="21"/>
        </w:rPr>
        <w:t>Spagnolo</w:t>
      </w:r>
      <w:proofErr w:type="spellEnd"/>
      <w:r w:rsidRPr="004C24CA">
        <w:rPr>
          <w:rFonts w:asciiTheme="minorHAnsi" w:hAnsiTheme="minorHAnsi" w:cstheme="minorHAnsi"/>
          <w:szCs w:val="21"/>
        </w:rPr>
        <w:t xml:space="preserve"> et al., 2017).</w:t>
      </w:r>
    </w:p>
    <w:p w14:paraId="4CBFADDA" w14:textId="433CE109" w:rsidR="00AA271F" w:rsidRPr="004C24CA" w:rsidRDefault="00AA271F" w:rsidP="004C24CA">
      <w:pPr>
        <w:pStyle w:val="ListParagraph"/>
        <w:numPr>
          <w:ilvl w:val="0"/>
          <w:numId w:val="38"/>
        </w:numPr>
        <w:autoSpaceDE w:val="0"/>
        <w:autoSpaceDN w:val="0"/>
        <w:adjustRightInd w:val="0"/>
        <w:spacing w:line="276" w:lineRule="auto"/>
        <w:ind w:left="360"/>
        <w:rPr>
          <w:rFonts w:asciiTheme="minorHAnsi" w:hAnsiTheme="minorHAnsi" w:cstheme="minorHAnsi"/>
          <w:color w:val="000000"/>
          <w:szCs w:val="21"/>
        </w:rPr>
      </w:pPr>
      <w:r w:rsidRPr="004C24CA">
        <w:rPr>
          <w:rFonts w:asciiTheme="minorHAnsi" w:hAnsiTheme="minorHAnsi" w:cstheme="minorHAnsi"/>
          <w:szCs w:val="21"/>
        </w:rPr>
        <w:t xml:space="preserve">Build relationships with employers through negotiation around mutually beneficial job roles, seeking feedback, engaging employers into the school or post-secondary education program, </w:t>
      </w:r>
      <w:proofErr w:type="spellStart"/>
      <w:r w:rsidRPr="004C24CA">
        <w:rPr>
          <w:rFonts w:asciiTheme="minorHAnsi" w:hAnsiTheme="minorHAnsi" w:cstheme="minorHAnsi"/>
          <w:szCs w:val="21"/>
        </w:rPr>
        <w:t>utili</w:t>
      </w:r>
      <w:r w:rsidR="00717894" w:rsidRPr="004C24CA">
        <w:rPr>
          <w:rFonts w:asciiTheme="minorHAnsi" w:hAnsiTheme="minorHAnsi" w:cstheme="minorHAnsi"/>
          <w:szCs w:val="21"/>
        </w:rPr>
        <w:t>s</w:t>
      </w:r>
      <w:r w:rsidRPr="004C24CA">
        <w:rPr>
          <w:rFonts w:asciiTheme="minorHAnsi" w:hAnsiTheme="minorHAnsi" w:cstheme="minorHAnsi"/>
          <w:szCs w:val="21"/>
        </w:rPr>
        <w:t>ing</w:t>
      </w:r>
      <w:proofErr w:type="spellEnd"/>
      <w:r w:rsidRPr="004C24CA">
        <w:rPr>
          <w:rFonts w:asciiTheme="minorHAnsi" w:hAnsiTheme="minorHAnsi" w:cstheme="minorHAnsi"/>
          <w:szCs w:val="21"/>
        </w:rPr>
        <w:t xml:space="preserve"> existing employer networks, provide training to employers about how to work with people with disability (</w:t>
      </w:r>
      <w:proofErr w:type="spellStart"/>
      <w:r w:rsidRPr="004C24CA">
        <w:rPr>
          <w:rFonts w:asciiTheme="minorHAnsi" w:hAnsiTheme="minorHAnsi" w:cstheme="minorHAnsi"/>
          <w:szCs w:val="21"/>
        </w:rPr>
        <w:t>Scheef</w:t>
      </w:r>
      <w:proofErr w:type="spellEnd"/>
      <w:r w:rsidRPr="004C24CA">
        <w:rPr>
          <w:rFonts w:asciiTheme="minorHAnsi" w:hAnsiTheme="minorHAnsi" w:cstheme="minorHAnsi"/>
          <w:szCs w:val="21"/>
        </w:rPr>
        <w:t>, 2019).</w:t>
      </w:r>
    </w:p>
    <w:p w14:paraId="70CA76BD" w14:textId="1C0A26EA" w:rsidR="00CA25B9" w:rsidRPr="004C24CA" w:rsidRDefault="00AA271F" w:rsidP="004C24CA">
      <w:pPr>
        <w:pStyle w:val="ListParagraph"/>
        <w:numPr>
          <w:ilvl w:val="0"/>
          <w:numId w:val="38"/>
        </w:numPr>
        <w:autoSpaceDE w:val="0"/>
        <w:autoSpaceDN w:val="0"/>
        <w:adjustRightInd w:val="0"/>
        <w:spacing w:line="276" w:lineRule="auto"/>
        <w:ind w:left="360"/>
        <w:rPr>
          <w:rFonts w:asciiTheme="minorHAnsi" w:hAnsiTheme="minorHAnsi" w:cstheme="minorHAnsi"/>
          <w:color w:val="000000"/>
          <w:szCs w:val="21"/>
        </w:rPr>
      </w:pPr>
      <w:proofErr w:type="spellStart"/>
      <w:r w:rsidRPr="004C24CA">
        <w:rPr>
          <w:rFonts w:asciiTheme="minorHAnsi" w:hAnsiTheme="minorHAnsi" w:cstheme="minorHAnsi"/>
          <w:szCs w:val="21"/>
        </w:rPr>
        <w:t>Utilise</w:t>
      </w:r>
      <w:proofErr w:type="spellEnd"/>
      <w:r w:rsidRPr="004C24CA">
        <w:rPr>
          <w:rFonts w:asciiTheme="minorHAnsi" w:hAnsiTheme="minorHAnsi" w:cstheme="minorHAnsi"/>
          <w:szCs w:val="21"/>
        </w:rPr>
        <w:t xml:space="preserve"> a range of funding sources (for example, from the school, from </w:t>
      </w:r>
      <w:proofErr w:type="spellStart"/>
      <w:r w:rsidRPr="004C24CA">
        <w:rPr>
          <w:rFonts w:asciiTheme="minorHAnsi" w:hAnsiTheme="minorHAnsi" w:cstheme="minorHAnsi"/>
          <w:szCs w:val="21"/>
        </w:rPr>
        <w:t>individuali</w:t>
      </w:r>
      <w:r w:rsidR="00717894" w:rsidRPr="004C24CA">
        <w:rPr>
          <w:rFonts w:asciiTheme="minorHAnsi" w:hAnsiTheme="minorHAnsi" w:cstheme="minorHAnsi"/>
          <w:szCs w:val="21"/>
        </w:rPr>
        <w:t>s</w:t>
      </w:r>
      <w:r w:rsidRPr="004C24CA">
        <w:rPr>
          <w:rFonts w:asciiTheme="minorHAnsi" w:hAnsiTheme="minorHAnsi" w:cstheme="minorHAnsi"/>
          <w:szCs w:val="21"/>
        </w:rPr>
        <w:t>ed</w:t>
      </w:r>
      <w:proofErr w:type="spellEnd"/>
      <w:r w:rsidRPr="004C24CA">
        <w:rPr>
          <w:rFonts w:asciiTheme="minorHAnsi" w:hAnsiTheme="minorHAnsi" w:cstheme="minorHAnsi"/>
          <w:szCs w:val="21"/>
        </w:rPr>
        <w:t xml:space="preserve"> funding) to ‘braid’ funding together to support early work experiences (</w:t>
      </w:r>
      <w:proofErr w:type="spellStart"/>
      <w:r w:rsidRPr="004C24CA">
        <w:rPr>
          <w:rFonts w:asciiTheme="minorHAnsi" w:hAnsiTheme="minorHAnsi" w:cstheme="minorHAnsi"/>
          <w:szCs w:val="21"/>
        </w:rPr>
        <w:t>Molfenter</w:t>
      </w:r>
      <w:proofErr w:type="spellEnd"/>
      <w:r w:rsidRPr="004C24CA">
        <w:rPr>
          <w:rFonts w:asciiTheme="minorHAnsi" w:hAnsiTheme="minorHAnsi" w:cstheme="minorHAnsi"/>
          <w:szCs w:val="21"/>
        </w:rPr>
        <w:t xml:space="preserve"> et al., 2017)</w:t>
      </w:r>
      <w:r w:rsidR="002D195D" w:rsidRPr="004C24CA">
        <w:rPr>
          <w:rFonts w:asciiTheme="minorHAnsi" w:hAnsiTheme="minorHAnsi" w:cstheme="minorHAnsi"/>
          <w:szCs w:val="21"/>
        </w:rPr>
        <w:t>.</w:t>
      </w:r>
    </w:p>
    <w:p w14:paraId="500BF71A" w14:textId="77777777" w:rsidR="00AE1DB2" w:rsidRDefault="00AE1DB2" w:rsidP="00CE427B">
      <w:pPr>
        <w:pStyle w:val="Heading1"/>
        <w:pBdr>
          <w:bottom w:val="single" w:sz="4" w:space="1" w:color="auto"/>
        </w:pBdr>
        <w:spacing w:line="276" w:lineRule="auto"/>
        <w:sectPr w:rsidR="00AE1DB2" w:rsidSect="00AE1DB2">
          <w:headerReference w:type="default" r:id="rId18"/>
          <w:footerReference w:type="default" r:id="rId19"/>
          <w:pgSz w:w="11907" w:h="16840" w:code="9"/>
          <w:pgMar w:top="1440" w:right="1531" w:bottom="1440" w:left="1440" w:header="431" w:footer="720" w:gutter="0"/>
          <w:cols w:space="720"/>
          <w:docGrid w:linePitch="360"/>
        </w:sectPr>
      </w:pPr>
    </w:p>
    <w:p w14:paraId="771C4A38" w14:textId="778578DC" w:rsidR="005E235B" w:rsidRDefault="005E235B" w:rsidP="00CE427B">
      <w:pPr>
        <w:pStyle w:val="Heading1"/>
        <w:pBdr>
          <w:bottom w:val="single" w:sz="4" w:space="1" w:color="auto"/>
        </w:pBdr>
        <w:spacing w:line="276" w:lineRule="auto"/>
      </w:pPr>
      <w:bookmarkStart w:id="108" w:name="_Toc49462475"/>
      <w:r>
        <w:lastRenderedPageBreak/>
        <w:t>evidence piece 11:</w:t>
      </w:r>
      <w:bookmarkEnd w:id="108"/>
    </w:p>
    <w:p w14:paraId="3BA0FC36" w14:textId="1250293D" w:rsidR="005E235B" w:rsidRDefault="005E235B" w:rsidP="00CE427B">
      <w:pPr>
        <w:pStyle w:val="Heading1"/>
        <w:pBdr>
          <w:bottom w:val="single" w:sz="4" w:space="1" w:color="auto"/>
        </w:pBdr>
        <w:spacing w:line="276" w:lineRule="auto"/>
      </w:pPr>
      <w:bookmarkStart w:id="109" w:name="_Toc49462476"/>
      <w:r>
        <w:t>Individual placement and support (IPS) for people with intellectual disability</w:t>
      </w:r>
      <w:bookmarkEnd w:id="109"/>
    </w:p>
    <w:p w14:paraId="29F87DE8" w14:textId="77777777" w:rsidR="005E235B" w:rsidRPr="00EB4E4C" w:rsidRDefault="005E235B" w:rsidP="00CE427B"/>
    <w:p w14:paraId="3D030266" w14:textId="77777777" w:rsidR="005E235B" w:rsidRDefault="005E235B" w:rsidP="00CE427B">
      <w:pPr>
        <w:pStyle w:val="Heading2"/>
        <w:spacing w:line="276" w:lineRule="auto"/>
      </w:pPr>
      <w:bookmarkStart w:id="110" w:name="_Toc49417936"/>
      <w:r>
        <w:t>What is Individual placement and support (IPS)</w:t>
      </w:r>
      <w:bookmarkEnd w:id="110"/>
    </w:p>
    <w:p w14:paraId="377FEA15" w14:textId="7F938F25" w:rsidR="005E235B" w:rsidRPr="005D7EB4" w:rsidRDefault="005E235B" w:rsidP="00CE427B">
      <w:pPr>
        <w:snapToGrid w:val="0"/>
        <w:spacing w:after="120" w:line="276" w:lineRule="auto"/>
      </w:pPr>
      <w:r>
        <w:t xml:space="preserve">Individual Placement and Support (IPS) is a variant of the model of supported employment that has evolved since the 1980s. Unlike </w:t>
      </w:r>
      <w:proofErr w:type="spellStart"/>
      <w:r>
        <w:t>Customised</w:t>
      </w:r>
      <w:proofErr w:type="spellEnd"/>
      <w:r>
        <w:t xml:space="preserve"> Employment, it has a focus on rapid movement into employment, coupled with support to address personal barriers and the ongoing provision of support in the workplace (Lawlor </w:t>
      </w:r>
      <w:r w:rsidR="00A166EC">
        <w:t>&amp;</w:t>
      </w:r>
      <w:r>
        <w:t xml:space="preserve"> Perkins, 2009). </w:t>
      </w:r>
      <w:r w:rsidRPr="005E235B">
        <w:rPr>
          <w:rStyle w:val="Strong"/>
          <w:b w:val="0"/>
          <w:bCs w:val="0"/>
        </w:rPr>
        <w:t xml:space="preserve">IPS has been primarily and extensively used with people with serious mental </w:t>
      </w:r>
      <w:r w:rsidRPr="005E235B">
        <w:rPr>
          <w:rStyle w:val="Strong"/>
        </w:rPr>
        <w:t xml:space="preserve">illness </w:t>
      </w:r>
      <w:r w:rsidRPr="005E235B">
        <w:t>e.g., schizophrenia</w:t>
      </w:r>
      <w:r>
        <w:t xml:space="preserve"> spectrum disorder, bipolar, depression, and has assisted </w:t>
      </w:r>
      <w:r w:rsidR="009666A8">
        <w:t>“</w:t>
      </w:r>
      <w:r>
        <w:t xml:space="preserve">people living with behavioral health conditions work at </w:t>
      </w:r>
      <w:r w:rsidRPr="00EB4E4C">
        <w:t>regular jobs</w:t>
      </w:r>
      <w:r>
        <w:rPr>
          <w:rStyle w:val="Strong"/>
        </w:rPr>
        <w:t xml:space="preserve"> </w:t>
      </w:r>
      <w:r>
        <w:t>of their choosing</w:t>
      </w:r>
      <w:r w:rsidR="009666A8">
        <w:t>”</w:t>
      </w:r>
      <w:r>
        <w:t xml:space="preserve"> (IPS Employment Centre, </w:t>
      </w:r>
      <w:hyperlink r:id="rId20" w:history="1">
        <w:r w:rsidR="00DA0FFD">
          <w:rPr>
            <w:rStyle w:val="Hyperlink"/>
            <w:color w:val="auto"/>
            <w:u w:val="none"/>
          </w:rPr>
          <w:t>n.d.</w:t>
        </w:r>
      </w:hyperlink>
      <w:r w:rsidRPr="005E235B">
        <w:t>)</w:t>
      </w:r>
      <w:r>
        <w:t>.</w:t>
      </w:r>
    </w:p>
    <w:p w14:paraId="4143F81A" w14:textId="5028AAF4" w:rsidR="005E235B" w:rsidRDefault="005E235B" w:rsidP="00CE427B">
      <w:pPr>
        <w:spacing w:line="276" w:lineRule="auto"/>
        <w:ind w:left="360" w:right="360"/>
      </w:pPr>
      <w:r>
        <w:t>IPS is an evidence-based model of supported employment for people with serious mental illness (Becker et al.</w:t>
      </w:r>
      <w:r w:rsidR="00744455">
        <w:t>,</w:t>
      </w:r>
      <w:r>
        <w:t xml:space="preserve"> 2011; Mar-shall et al.</w:t>
      </w:r>
      <w:r w:rsidR="00744455">
        <w:t>,</w:t>
      </w:r>
      <w:r>
        <w:t xml:space="preserve"> 2014). The core principles of IPS include rapid job search, integration of mental health and employment services, attention to client preferences, and </w:t>
      </w:r>
      <w:proofErr w:type="spellStart"/>
      <w:r>
        <w:t>individuali</w:t>
      </w:r>
      <w:r w:rsidR="00717894">
        <w:t>s</w:t>
      </w:r>
      <w:r>
        <w:t>ed</w:t>
      </w:r>
      <w:proofErr w:type="spellEnd"/>
      <w:r>
        <w:t xml:space="preserve"> job searches and supports … IPS helps clients to obtain and maintain competitive jobs of their choice without long periods of assessment, training, or internships (McLaren et al.</w:t>
      </w:r>
      <w:r w:rsidR="00D25409">
        <w:t xml:space="preserve">, </w:t>
      </w:r>
      <w:r>
        <w:t>2017, p.</w:t>
      </w:r>
      <w:r w:rsidR="00D25409">
        <w:t xml:space="preserve"> </w:t>
      </w:r>
      <w:r>
        <w:t>366)</w:t>
      </w:r>
    </w:p>
    <w:p w14:paraId="6791DA6E" w14:textId="77777777" w:rsidR="005E235B" w:rsidRPr="005E235B" w:rsidRDefault="005E235B" w:rsidP="00CE427B">
      <w:pPr>
        <w:spacing w:line="276" w:lineRule="auto"/>
        <w:rPr>
          <w:b/>
          <w:bCs/>
        </w:rPr>
      </w:pPr>
      <w:r w:rsidRPr="005E235B">
        <w:rPr>
          <w:rStyle w:val="Strong"/>
          <w:b w:val="0"/>
          <w:bCs w:val="0"/>
        </w:rPr>
        <w:t>IPS has also been used successfully with a range of other groups including a small number of examples with people with intellectual disability (Bond, 2020).</w:t>
      </w:r>
    </w:p>
    <w:p w14:paraId="617597C2" w14:textId="045A863E" w:rsidR="005E235B" w:rsidRDefault="005E235B" w:rsidP="00CE427B">
      <w:pPr>
        <w:snapToGrid w:val="0"/>
        <w:spacing w:after="120" w:line="276" w:lineRule="auto"/>
      </w:pPr>
      <w:r>
        <w:t xml:space="preserve">IPS has a strong evidence base that has established the key ingredients needed to make it effective. These have been identified as the 8 Principles of IPS (IPS Employment Center, </w:t>
      </w:r>
      <w:r w:rsidR="002F639D">
        <w:t>n.d.</w:t>
      </w:r>
      <w:r>
        <w:t>):</w:t>
      </w:r>
    </w:p>
    <w:tbl>
      <w:tblPr>
        <w:tblStyle w:val="TableGrid"/>
        <w:tblW w:w="0" w:type="auto"/>
        <w:tblLook w:val="04A0" w:firstRow="1" w:lastRow="0" w:firstColumn="1" w:lastColumn="0" w:noHBand="0" w:noVBand="1"/>
      </w:tblPr>
      <w:tblGrid>
        <w:gridCol w:w="2061"/>
        <w:gridCol w:w="6865"/>
      </w:tblGrid>
      <w:tr w:rsidR="005E235B" w14:paraId="33E7A08B" w14:textId="77777777" w:rsidTr="00E35816">
        <w:tc>
          <w:tcPr>
            <w:tcW w:w="8990" w:type="dxa"/>
            <w:gridSpan w:val="2"/>
          </w:tcPr>
          <w:p w14:paraId="774BD998" w14:textId="77777777" w:rsidR="005E235B" w:rsidRDefault="005E235B" w:rsidP="00CE427B">
            <w:pPr>
              <w:snapToGrid w:val="0"/>
              <w:spacing w:after="120" w:line="276" w:lineRule="auto"/>
            </w:pPr>
            <w:r>
              <w:t>IPS is based on the following elements:</w:t>
            </w:r>
          </w:p>
        </w:tc>
      </w:tr>
      <w:tr w:rsidR="005E235B" w14:paraId="5ADDB8A4" w14:textId="77777777" w:rsidTr="00E35816">
        <w:tc>
          <w:tcPr>
            <w:tcW w:w="2065" w:type="dxa"/>
          </w:tcPr>
          <w:p w14:paraId="5806C5F1" w14:textId="77777777" w:rsidR="005E235B" w:rsidRDefault="005E235B" w:rsidP="00695832">
            <w:pPr>
              <w:pStyle w:val="ListParagraph"/>
              <w:numPr>
                <w:ilvl w:val="0"/>
                <w:numId w:val="40"/>
              </w:numPr>
              <w:snapToGrid w:val="0"/>
              <w:spacing w:before="0" w:after="120" w:line="276" w:lineRule="auto"/>
              <w:ind w:left="330"/>
            </w:pPr>
            <w:r w:rsidRPr="00047FDC">
              <w:t>Competitive employment</w:t>
            </w:r>
          </w:p>
        </w:tc>
        <w:tc>
          <w:tcPr>
            <w:tcW w:w="6925" w:type="dxa"/>
          </w:tcPr>
          <w:p w14:paraId="16E49967" w14:textId="77777777" w:rsidR="005E235B" w:rsidRDefault="005E235B" w:rsidP="00CE427B">
            <w:pPr>
              <w:snapToGrid w:val="0"/>
              <w:spacing w:after="120" w:line="276" w:lineRule="auto"/>
            </w:pPr>
            <w:r>
              <w:t>Jobs anyone can apply for, pay at least minimum wage/same pay as coworkers with similar duties, and have no artificial time limits imposed by the social service agency.</w:t>
            </w:r>
          </w:p>
        </w:tc>
      </w:tr>
      <w:tr w:rsidR="005E235B" w14:paraId="42E6DD1A" w14:textId="77777777" w:rsidTr="00E35816">
        <w:tc>
          <w:tcPr>
            <w:tcW w:w="2065" w:type="dxa"/>
          </w:tcPr>
          <w:p w14:paraId="07015C93" w14:textId="77777777" w:rsidR="005E235B" w:rsidRDefault="005E235B" w:rsidP="00695832">
            <w:pPr>
              <w:pStyle w:val="ListParagraph"/>
              <w:numPr>
                <w:ilvl w:val="0"/>
                <w:numId w:val="40"/>
              </w:numPr>
              <w:snapToGrid w:val="0"/>
              <w:spacing w:before="0" w:after="120" w:line="276" w:lineRule="auto"/>
              <w:ind w:left="330"/>
            </w:pPr>
            <w:r w:rsidRPr="00047FDC">
              <w:t>Systematic job development</w:t>
            </w:r>
          </w:p>
        </w:tc>
        <w:tc>
          <w:tcPr>
            <w:tcW w:w="6925" w:type="dxa"/>
          </w:tcPr>
          <w:p w14:paraId="5A492394" w14:textId="77777777" w:rsidR="005E235B" w:rsidRDefault="005E235B" w:rsidP="00CE427B">
            <w:pPr>
              <w:snapToGrid w:val="0"/>
              <w:spacing w:after="120" w:line="276" w:lineRule="auto"/>
            </w:pPr>
            <w:r>
              <w:t>Employment specialists systematically visit employers, who are selected based on the job seeker’s preferences, to learn about their business needs and hiring preferences.</w:t>
            </w:r>
          </w:p>
        </w:tc>
      </w:tr>
      <w:tr w:rsidR="005E235B" w14:paraId="05AC8F28" w14:textId="77777777" w:rsidTr="00E35816">
        <w:tc>
          <w:tcPr>
            <w:tcW w:w="2065" w:type="dxa"/>
          </w:tcPr>
          <w:p w14:paraId="2DBCFD59" w14:textId="77777777" w:rsidR="005E235B" w:rsidRDefault="005E235B" w:rsidP="00695832">
            <w:pPr>
              <w:pStyle w:val="ListParagraph"/>
              <w:numPr>
                <w:ilvl w:val="0"/>
                <w:numId w:val="40"/>
              </w:numPr>
              <w:snapToGrid w:val="0"/>
              <w:spacing w:before="0" w:after="120" w:line="276" w:lineRule="auto"/>
              <w:ind w:left="330"/>
            </w:pPr>
            <w:r w:rsidRPr="00047FDC">
              <w:t>Rapid job search</w:t>
            </w:r>
          </w:p>
        </w:tc>
        <w:tc>
          <w:tcPr>
            <w:tcW w:w="6925" w:type="dxa"/>
          </w:tcPr>
          <w:p w14:paraId="464FFD13" w14:textId="77777777" w:rsidR="005E235B" w:rsidRDefault="005E235B" w:rsidP="00CE427B">
            <w:pPr>
              <w:snapToGrid w:val="0"/>
              <w:spacing w:after="120" w:line="276" w:lineRule="auto"/>
            </w:pPr>
            <w:r>
              <w:t>IPS programs use a rapid job search approach to help job seekers obtain jobs rather than assessments, training, &amp; counseling. The first face to face contact with the employer occurs within 30 days.</w:t>
            </w:r>
          </w:p>
        </w:tc>
      </w:tr>
      <w:tr w:rsidR="005E235B" w14:paraId="67BE143F" w14:textId="77777777" w:rsidTr="00E35816">
        <w:tc>
          <w:tcPr>
            <w:tcW w:w="2065" w:type="dxa"/>
          </w:tcPr>
          <w:p w14:paraId="47FCAF6C" w14:textId="77777777" w:rsidR="005E235B" w:rsidRDefault="005E235B" w:rsidP="00695832">
            <w:pPr>
              <w:pStyle w:val="ListParagraph"/>
              <w:numPr>
                <w:ilvl w:val="0"/>
                <w:numId w:val="40"/>
              </w:numPr>
              <w:snapToGrid w:val="0"/>
              <w:spacing w:before="0" w:after="120" w:line="276" w:lineRule="auto"/>
              <w:ind w:left="330"/>
            </w:pPr>
            <w:r w:rsidRPr="00047FDC">
              <w:t>Integrated services</w:t>
            </w:r>
          </w:p>
        </w:tc>
        <w:tc>
          <w:tcPr>
            <w:tcW w:w="6925" w:type="dxa"/>
          </w:tcPr>
          <w:p w14:paraId="43E29D6C" w14:textId="77777777" w:rsidR="005E235B" w:rsidRDefault="005E235B" w:rsidP="00CE427B">
            <w:pPr>
              <w:snapToGrid w:val="0"/>
              <w:spacing w:after="120" w:line="276" w:lineRule="auto"/>
            </w:pPr>
            <w:r>
              <w:t xml:space="preserve">IPS programs are integrated with mental health treatment teams. </w:t>
            </w:r>
          </w:p>
        </w:tc>
      </w:tr>
      <w:tr w:rsidR="005E235B" w14:paraId="045083DC" w14:textId="77777777" w:rsidTr="00E35816">
        <w:tc>
          <w:tcPr>
            <w:tcW w:w="2065" w:type="dxa"/>
          </w:tcPr>
          <w:p w14:paraId="021B90D4" w14:textId="77777777" w:rsidR="005E235B" w:rsidRDefault="005E235B" w:rsidP="00695832">
            <w:pPr>
              <w:pStyle w:val="ListParagraph"/>
              <w:numPr>
                <w:ilvl w:val="0"/>
                <w:numId w:val="40"/>
              </w:numPr>
              <w:snapToGrid w:val="0"/>
              <w:spacing w:before="0" w:after="120" w:line="276" w:lineRule="auto"/>
              <w:ind w:left="330"/>
            </w:pPr>
            <w:r w:rsidRPr="00047FDC">
              <w:t>Benefits planning</w:t>
            </w:r>
          </w:p>
        </w:tc>
        <w:tc>
          <w:tcPr>
            <w:tcW w:w="6925" w:type="dxa"/>
          </w:tcPr>
          <w:p w14:paraId="768FC39E" w14:textId="4706F0EC" w:rsidR="005E235B" w:rsidRDefault="005E235B" w:rsidP="00CE427B">
            <w:pPr>
              <w:snapToGrid w:val="0"/>
              <w:spacing w:after="120" w:line="276" w:lineRule="auto"/>
            </w:pPr>
            <w:r>
              <w:t xml:space="preserve">Employment specialists help people obtain </w:t>
            </w:r>
            <w:proofErr w:type="spellStart"/>
            <w:r>
              <w:t>personali</w:t>
            </w:r>
            <w:r w:rsidR="00717894">
              <w:t>s</w:t>
            </w:r>
            <w:r>
              <w:t>ed</w:t>
            </w:r>
            <w:proofErr w:type="spellEnd"/>
            <w:r>
              <w:t>, understandable, and accurate information about their … government entitlements.</w:t>
            </w:r>
          </w:p>
        </w:tc>
      </w:tr>
      <w:tr w:rsidR="005E235B" w14:paraId="73BBFD03" w14:textId="77777777" w:rsidTr="00E35816">
        <w:tc>
          <w:tcPr>
            <w:tcW w:w="2065" w:type="dxa"/>
          </w:tcPr>
          <w:p w14:paraId="1FDF31EA" w14:textId="77777777" w:rsidR="005E235B" w:rsidRDefault="005E235B" w:rsidP="00695832">
            <w:pPr>
              <w:pStyle w:val="ListParagraph"/>
              <w:numPr>
                <w:ilvl w:val="0"/>
                <w:numId w:val="40"/>
              </w:numPr>
              <w:snapToGrid w:val="0"/>
              <w:spacing w:before="0" w:after="120" w:line="276" w:lineRule="auto"/>
              <w:ind w:left="330"/>
            </w:pPr>
            <w:r w:rsidRPr="00047FDC">
              <w:lastRenderedPageBreak/>
              <w:t>Zero Exclusion</w:t>
            </w:r>
          </w:p>
        </w:tc>
        <w:tc>
          <w:tcPr>
            <w:tcW w:w="6925" w:type="dxa"/>
          </w:tcPr>
          <w:p w14:paraId="508AB12D" w14:textId="09FC98FF" w:rsidR="005E235B" w:rsidRDefault="005E235B" w:rsidP="00CE427B">
            <w:pPr>
              <w:snapToGrid w:val="0"/>
              <w:spacing w:after="120" w:line="276" w:lineRule="auto"/>
            </w:pPr>
            <w:r>
              <w:t xml:space="preserve">People are not excluded </w:t>
            </w:r>
            <w:proofErr w:type="gramStart"/>
            <w:r>
              <w:t>on the basis of</w:t>
            </w:r>
            <w:proofErr w:type="gramEnd"/>
            <w:r>
              <w:t xml:space="preserve"> readiness, diagnoses, symptoms, substance use history, psychiatric </w:t>
            </w:r>
            <w:proofErr w:type="spellStart"/>
            <w:r>
              <w:t>hospitali</w:t>
            </w:r>
            <w:r w:rsidR="00717894">
              <w:t>s</w:t>
            </w:r>
            <w:r>
              <w:t>ations</w:t>
            </w:r>
            <w:proofErr w:type="spellEnd"/>
            <w:r>
              <w:t>, homelessness, level of disability, or legal system involvement.</w:t>
            </w:r>
          </w:p>
        </w:tc>
      </w:tr>
      <w:tr w:rsidR="005E235B" w14:paraId="2341D605" w14:textId="77777777" w:rsidTr="00E35816">
        <w:tc>
          <w:tcPr>
            <w:tcW w:w="2065" w:type="dxa"/>
          </w:tcPr>
          <w:p w14:paraId="0DE64AFD" w14:textId="77777777" w:rsidR="005E235B" w:rsidRDefault="005E235B" w:rsidP="00695832">
            <w:pPr>
              <w:pStyle w:val="ListParagraph"/>
              <w:numPr>
                <w:ilvl w:val="0"/>
                <w:numId w:val="40"/>
              </w:numPr>
              <w:snapToGrid w:val="0"/>
              <w:spacing w:before="0" w:after="120" w:line="276" w:lineRule="auto"/>
              <w:ind w:left="330"/>
            </w:pPr>
            <w:r w:rsidRPr="00047FDC">
              <w:t>Time un-limited supports</w:t>
            </w:r>
          </w:p>
        </w:tc>
        <w:tc>
          <w:tcPr>
            <w:tcW w:w="6925" w:type="dxa"/>
          </w:tcPr>
          <w:p w14:paraId="56D778CB" w14:textId="7032094C" w:rsidR="005E235B" w:rsidRDefault="005E235B" w:rsidP="00CE427B">
            <w:pPr>
              <w:snapToGrid w:val="0"/>
              <w:spacing w:after="120" w:line="276" w:lineRule="auto"/>
            </w:pPr>
            <w:r>
              <w:t xml:space="preserve">Job supports are </w:t>
            </w:r>
            <w:proofErr w:type="spellStart"/>
            <w:r>
              <w:t>individuali</w:t>
            </w:r>
            <w:r w:rsidR="00717894">
              <w:t>s</w:t>
            </w:r>
            <w:r>
              <w:t>ed</w:t>
            </w:r>
            <w:proofErr w:type="spellEnd"/>
            <w:r>
              <w:t xml:space="preserve"> and continue for as long as each worker wants and needs the support. Employment Specialists have face to face contact at least monthly.</w:t>
            </w:r>
          </w:p>
        </w:tc>
      </w:tr>
      <w:tr w:rsidR="005E235B" w14:paraId="591A1B0D" w14:textId="77777777" w:rsidTr="00E35816">
        <w:tc>
          <w:tcPr>
            <w:tcW w:w="2065" w:type="dxa"/>
          </w:tcPr>
          <w:p w14:paraId="2FBC423A" w14:textId="77777777" w:rsidR="005E235B" w:rsidRDefault="005E235B" w:rsidP="00695832">
            <w:pPr>
              <w:pStyle w:val="ListParagraph"/>
              <w:numPr>
                <w:ilvl w:val="0"/>
                <w:numId w:val="40"/>
              </w:numPr>
              <w:snapToGrid w:val="0"/>
              <w:spacing w:before="0" w:after="120" w:line="276" w:lineRule="auto"/>
              <w:ind w:left="330"/>
            </w:pPr>
            <w:r w:rsidRPr="00047FDC">
              <w:t>Worker preferences</w:t>
            </w:r>
          </w:p>
        </w:tc>
        <w:tc>
          <w:tcPr>
            <w:tcW w:w="6925" w:type="dxa"/>
          </w:tcPr>
          <w:p w14:paraId="64457EB0" w14:textId="77777777" w:rsidR="005E235B" w:rsidRDefault="005E235B" w:rsidP="00CE427B">
            <w:pPr>
              <w:snapToGrid w:val="0"/>
              <w:spacing w:after="120" w:line="276" w:lineRule="auto"/>
            </w:pPr>
            <w:r>
              <w:t>IPS program services are based on each job seeker’s preferences and choices rather than the employment specialist’s and supervisor’s judgments.</w:t>
            </w:r>
          </w:p>
        </w:tc>
      </w:tr>
    </w:tbl>
    <w:p w14:paraId="598C97E4" w14:textId="77777777" w:rsidR="005E235B" w:rsidRDefault="005E235B" w:rsidP="00CE427B">
      <w:pPr>
        <w:snapToGrid w:val="0"/>
        <w:spacing w:after="120" w:line="276" w:lineRule="auto"/>
      </w:pPr>
    </w:p>
    <w:p w14:paraId="01ABDB53" w14:textId="2FD152DF" w:rsidR="005E235B" w:rsidRDefault="005E235B" w:rsidP="00CE427B">
      <w:pPr>
        <w:spacing w:line="276" w:lineRule="auto"/>
      </w:pPr>
      <w:r w:rsidRPr="007A17B0">
        <w:t>These principles have been tested and found to contribute to the overall effectiveness of IPS in supporting people to gain and maintain open employment (Lawlor</w:t>
      </w:r>
      <w:r>
        <w:t xml:space="preserve"> &amp; Perkins, 2009). For example, there is evidence to show that when ‘worker preferences’ are used to match the worker to the job, that increased employment outcomes and job retention occurs (</w:t>
      </w:r>
      <w:r w:rsidRPr="007A17B0">
        <w:t>Lawlor</w:t>
      </w:r>
      <w:r>
        <w:t xml:space="preserve"> &amp; Perkins, 2009). Interestingly, the element of ‘rapid job search’ has been shown to increase employment outcomes, when compared to an alternate strategy of pre-vocational training as a pathway to employment (for people with mental illness) </w:t>
      </w:r>
      <w:r w:rsidRPr="007A17B0">
        <w:t>(Lawlor</w:t>
      </w:r>
      <w:r>
        <w:t xml:space="preserve"> &amp; Perkins, 2009). Further, there is evidence that the provision of ‘time un-limited support’ is also linked to outcomes </w:t>
      </w:r>
      <w:r w:rsidRPr="007A17B0">
        <w:t>(Lawlor</w:t>
      </w:r>
      <w:r>
        <w:t xml:space="preserve"> &amp; Perkins, 2009).   </w:t>
      </w:r>
    </w:p>
    <w:p w14:paraId="3909BC4B" w14:textId="77777777" w:rsidR="005E235B" w:rsidRPr="005D7EB4" w:rsidRDefault="005E235B" w:rsidP="00CE427B">
      <w:pPr>
        <w:pStyle w:val="Heading2"/>
      </w:pPr>
      <w:bookmarkStart w:id="111" w:name="_Toc49417937"/>
      <w:r>
        <w:t>Outcomes</w:t>
      </w:r>
      <w:bookmarkEnd w:id="111"/>
      <w:r>
        <w:t xml:space="preserve"> </w:t>
      </w:r>
    </w:p>
    <w:p w14:paraId="45896B7B" w14:textId="27E6A1DF" w:rsidR="005E235B" w:rsidRDefault="005E235B" w:rsidP="002346F1">
      <w:pPr>
        <w:autoSpaceDE w:val="0"/>
        <w:autoSpaceDN w:val="0"/>
        <w:adjustRightInd w:val="0"/>
        <w:spacing w:line="276" w:lineRule="auto"/>
        <w:rPr>
          <w:rFonts w:cs="Calibri"/>
        </w:rPr>
      </w:pPr>
      <w:r w:rsidRPr="00CE3446">
        <w:rPr>
          <w:rFonts w:cs="Calibri"/>
        </w:rPr>
        <w:t>The Individual Placement and Support (IPS) model has a strong evidence base</w:t>
      </w:r>
      <w:r>
        <w:rPr>
          <w:rFonts w:cs="Calibri"/>
        </w:rPr>
        <w:t xml:space="preserve"> for people with mental illness</w:t>
      </w:r>
      <w:r w:rsidRPr="00CE3446">
        <w:rPr>
          <w:rFonts w:cs="Calibri"/>
        </w:rPr>
        <w:t>, achieving high quality outcomes (Becker et al., 201</w:t>
      </w:r>
      <w:r w:rsidR="00BB4BB3">
        <w:rPr>
          <w:rFonts w:cs="Calibri"/>
        </w:rPr>
        <w:t>1</w:t>
      </w:r>
      <w:r w:rsidRPr="00CE3446">
        <w:rPr>
          <w:rFonts w:cs="Calibri"/>
        </w:rPr>
        <w:t>; Bond et al., 2008; Smith</w:t>
      </w:r>
      <w:r w:rsidR="00492231">
        <w:rPr>
          <w:rFonts w:cs="Calibri"/>
        </w:rPr>
        <w:t xml:space="preserve"> et al.</w:t>
      </w:r>
      <w:r w:rsidRPr="00CE3446">
        <w:rPr>
          <w:rFonts w:cs="Calibri"/>
        </w:rPr>
        <w:t xml:space="preserve">, 2017). </w:t>
      </w:r>
      <w:r w:rsidRPr="00F819C5">
        <w:rPr>
          <w:rFonts w:cs="Calibri"/>
        </w:rPr>
        <w:t xml:space="preserve">Twenty-seven </w:t>
      </w:r>
      <w:proofErr w:type="spellStart"/>
      <w:r w:rsidRPr="00F819C5">
        <w:rPr>
          <w:rFonts w:cs="Calibri"/>
        </w:rPr>
        <w:t>randomi</w:t>
      </w:r>
      <w:r w:rsidR="00B025F3">
        <w:rPr>
          <w:rFonts w:cs="Calibri"/>
        </w:rPr>
        <w:t>s</w:t>
      </w:r>
      <w:r w:rsidRPr="00F819C5">
        <w:rPr>
          <w:rFonts w:cs="Calibri"/>
        </w:rPr>
        <w:t>ed</w:t>
      </w:r>
      <w:proofErr w:type="spellEnd"/>
      <w:r w:rsidRPr="00F819C5">
        <w:rPr>
          <w:rFonts w:cs="Calibri"/>
        </w:rPr>
        <w:t xml:space="preserve"> control trials have been conducted on IPS between 1996 and 2019, spanning multiple countries (most in the US</w:t>
      </w:r>
      <w:r>
        <w:rPr>
          <w:rFonts w:cs="Calibri"/>
        </w:rPr>
        <w:t xml:space="preserve"> and 3 in Australia</w:t>
      </w:r>
      <w:r w:rsidRPr="00F819C5">
        <w:rPr>
          <w:rFonts w:cs="Calibri"/>
        </w:rPr>
        <w:t>) and over 6,000 people with mental illness</w:t>
      </w:r>
      <w:r>
        <w:rPr>
          <w:rFonts w:cs="Calibri"/>
        </w:rPr>
        <w:t xml:space="preserve">, which show significant increased employment outcomes for IPS for this cohort over other interventions (Bond, 2020; Drake et al., 2019). </w:t>
      </w:r>
    </w:p>
    <w:p w14:paraId="43ED1D2F" w14:textId="77777777" w:rsidR="005E235B" w:rsidRDefault="005E235B" w:rsidP="002346F1">
      <w:pPr>
        <w:autoSpaceDE w:val="0"/>
        <w:autoSpaceDN w:val="0"/>
        <w:adjustRightInd w:val="0"/>
        <w:spacing w:line="276" w:lineRule="auto"/>
        <w:rPr>
          <w:rFonts w:cs="Calibri"/>
        </w:rPr>
      </w:pPr>
      <w:r>
        <w:rPr>
          <w:rFonts w:cs="Calibri"/>
        </w:rPr>
        <w:t>Outcomes have been evidenced in many studies and include:</w:t>
      </w:r>
    </w:p>
    <w:p w14:paraId="7A856332" w14:textId="77777777" w:rsidR="005E235B" w:rsidRPr="00CE3446" w:rsidRDefault="005E235B" w:rsidP="002346F1">
      <w:pPr>
        <w:pStyle w:val="ListParagraph"/>
        <w:numPr>
          <w:ilvl w:val="0"/>
          <w:numId w:val="41"/>
        </w:numPr>
        <w:autoSpaceDE w:val="0"/>
        <w:autoSpaceDN w:val="0"/>
        <w:adjustRightInd w:val="0"/>
        <w:spacing w:line="276" w:lineRule="auto"/>
        <w:rPr>
          <w:rFonts w:cs="Calibri"/>
        </w:rPr>
      </w:pPr>
      <w:r w:rsidRPr="00CE3446">
        <w:rPr>
          <w:rFonts w:cs="Calibri"/>
        </w:rPr>
        <w:t xml:space="preserve">Increased earnings </w:t>
      </w:r>
    </w:p>
    <w:p w14:paraId="6A3B6E2C" w14:textId="77777777" w:rsidR="005E235B" w:rsidRPr="00CE3446" w:rsidRDefault="005E235B" w:rsidP="002346F1">
      <w:pPr>
        <w:pStyle w:val="ListParagraph"/>
        <w:numPr>
          <w:ilvl w:val="0"/>
          <w:numId w:val="41"/>
        </w:numPr>
        <w:autoSpaceDE w:val="0"/>
        <w:autoSpaceDN w:val="0"/>
        <w:adjustRightInd w:val="0"/>
        <w:spacing w:line="276" w:lineRule="auto"/>
        <w:rPr>
          <w:rFonts w:cs="Calibri"/>
        </w:rPr>
      </w:pPr>
      <w:r w:rsidRPr="00CE3446">
        <w:rPr>
          <w:rFonts w:cs="Calibri"/>
        </w:rPr>
        <w:t xml:space="preserve">Increased job satisfaction </w:t>
      </w:r>
    </w:p>
    <w:p w14:paraId="04FE7550" w14:textId="77777777" w:rsidR="005E235B" w:rsidRDefault="005E235B" w:rsidP="002346F1">
      <w:pPr>
        <w:pStyle w:val="ListParagraph"/>
        <w:numPr>
          <w:ilvl w:val="0"/>
          <w:numId w:val="41"/>
        </w:numPr>
        <w:autoSpaceDE w:val="0"/>
        <w:autoSpaceDN w:val="0"/>
        <w:adjustRightInd w:val="0"/>
        <w:spacing w:line="276" w:lineRule="auto"/>
        <w:rPr>
          <w:rFonts w:cs="Calibri"/>
        </w:rPr>
      </w:pPr>
      <w:r w:rsidRPr="00CE3446">
        <w:rPr>
          <w:rFonts w:cs="Calibri"/>
        </w:rPr>
        <w:t>More rapid employment placement (Bond, et al., 2012)</w:t>
      </w:r>
      <w:r>
        <w:rPr>
          <w:rFonts w:cs="Calibri"/>
        </w:rPr>
        <w:t>.</w:t>
      </w:r>
    </w:p>
    <w:p w14:paraId="30E7440C" w14:textId="7860CFA7" w:rsidR="005E235B" w:rsidRDefault="005E235B" w:rsidP="002346F1">
      <w:pPr>
        <w:autoSpaceDE w:val="0"/>
        <w:autoSpaceDN w:val="0"/>
        <w:adjustRightInd w:val="0"/>
        <w:spacing w:line="276" w:lineRule="auto"/>
        <w:rPr>
          <w:rFonts w:cs="Calibri"/>
        </w:rPr>
      </w:pPr>
      <w:r>
        <w:rPr>
          <w:rFonts w:cs="Calibri"/>
        </w:rPr>
        <w:t xml:space="preserve">However, IPS has </w:t>
      </w:r>
      <w:r w:rsidRPr="00152DB8">
        <w:rPr>
          <w:rFonts w:cs="Calibri"/>
        </w:rPr>
        <w:t>not</w:t>
      </w:r>
      <w:r>
        <w:rPr>
          <w:rFonts w:cs="Calibri"/>
        </w:rPr>
        <w:t xml:space="preserve"> been used extensively with people with intellectual disability, and there are few studies that attest to its outcomes for this cohort. In a study of 280 young people (16-24 years) with intellectual disability (55% of sample) or psychiatric disability in the US using IPS, researchers reported an average employment rate of 36% as a result of IPS (Noel et al.</w:t>
      </w:r>
      <w:r w:rsidR="00191BC6">
        <w:rPr>
          <w:rFonts w:cs="Calibri"/>
        </w:rPr>
        <w:t>,</w:t>
      </w:r>
      <w:r>
        <w:rPr>
          <w:rFonts w:cs="Calibri"/>
        </w:rPr>
        <w:t xml:space="preserve"> 2017). </w:t>
      </w:r>
      <w:r w:rsidRPr="00152DB8">
        <w:rPr>
          <w:rFonts w:cs="Calibri"/>
        </w:rPr>
        <w:t>In</w:t>
      </w:r>
      <w:r>
        <w:rPr>
          <w:rFonts w:cs="Calibri"/>
        </w:rPr>
        <w:t xml:space="preserve"> a study of people with Autism Spectrum Disorder, the five participants experienced:</w:t>
      </w:r>
    </w:p>
    <w:p w14:paraId="332A4CDD" w14:textId="77777777" w:rsidR="005E235B" w:rsidRDefault="005E235B" w:rsidP="002346F1">
      <w:pPr>
        <w:pStyle w:val="ListParagraph"/>
        <w:numPr>
          <w:ilvl w:val="0"/>
          <w:numId w:val="42"/>
        </w:numPr>
        <w:autoSpaceDE w:val="0"/>
        <w:autoSpaceDN w:val="0"/>
        <w:adjustRightInd w:val="0"/>
        <w:spacing w:line="276" w:lineRule="auto"/>
        <w:rPr>
          <w:rFonts w:cs="Calibri"/>
        </w:rPr>
      </w:pPr>
      <w:r>
        <w:rPr>
          <w:rFonts w:cs="Calibri"/>
        </w:rPr>
        <w:t>Increased employment</w:t>
      </w:r>
    </w:p>
    <w:p w14:paraId="78D37F37" w14:textId="77777777" w:rsidR="005E235B" w:rsidRDefault="005E235B" w:rsidP="002346F1">
      <w:pPr>
        <w:pStyle w:val="ListParagraph"/>
        <w:numPr>
          <w:ilvl w:val="0"/>
          <w:numId w:val="42"/>
        </w:numPr>
        <w:autoSpaceDE w:val="0"/>
        <w:autoSpaceDN w:val="0"/>
        <w:adjustRightInd w:val="0"/>
        <w:spacing w:line="276" w:lineRule="auto"/>
        <w:rPr>
          <w:rFonts w:cs="Calibri"/>
        </w:rPr>
      </w:pPr>
      <w:r>
        <w:rPr>
          <w:rFonts w:cs="Calibri"/>
        </w:rPr>
        <w:t>Increased earnings</w:t>
      </w:r>
    </w:p>
    <w:p w14:paraId="64C46560" w14:textId="77777777" w:rsidR="005E235B" w:rsidRDefault="005E235B" w:rsidP="002346F1">
      <w:pPr>
        <w:pStyle w:val="ListParagraph"/>
        <w:numPr>
          <w:ilvl w:val="0"/>
          <w:numId w:val="42"/>
        </w:numPr>
        <w:autoSpaceDE w:val="0"/>
        <w:autoSpaceDN w:val="0"/>
        <w:adjustRightInd w:val="0"/>
        <w:spacing w:line="276" w:lineRule="auto"/>
        <w:rPr>
          <w:rFonts w:cs="Calibri"/>
        </w:rPr>
      </w:pPr>
      <w:r>
        <w:rPr>
          <w:rFonts w:cs="Calibri"/>
        </w:rPr>
        <w:t>Increased hygiene</w:t>
      </w:r>
    </w:p>
    <w:p w14:paraId="5D721294" w14:textId="77777777" w:rsidR="005E235B" w:rsidRDefault="005E235B" w:rsidP="002346F1">
      <w:pPr>
        <w:pStyle w:val="ListParagraph"/>
        <w:numPr>
          <w:ilvl w:val="0"/>
          <w:numId w:val="42"/>
        </w:numPr>
        <w:autoSpaceDE w:val="0"/>
        <w:autoSpaceDN w:val="0"/>
        <w:adjustRightInd w:val="0"/>
        <w:spacing w:line="276" w:lineRule="auto"/>
        <w:rPr>
          <w:rFonts w:cs="Calibri"/>
        </w:rPr>
      </w:pPr>
      <w:r>
        <w:rPr>
          <w:rFonts w:cs="Calibri"/>
        </w:rPr>
        <w:t>Increased self-esteem</w:t>
      </w:r>
    </w:p>
    <w:p w14:paraId="7C3F9785" w14:textId="77777777" w:rsidR="005E235B" w:rsidRDefault="005E235B" w:rsidP="002346F1">
      <w:pPr>
        <w:pStyle w:val="ListParagraph"/>
        <w:numPr>
          <w:ilvl w:val="0"/>
          <w:numId w:val="42"/>
        </w:numPr>
        <w:autoSpaceDE w:val="0"/>
        <w:autoSpaceDN w:val="0"/>
        <w:adjustRightInd w:val="0"/>
        <w:spacing w:line="276" w:lineRule="auto"/>
        <w:rPr>
          <w:rFonts w:cs="Calibri"/>
        </w:rPr>
      </w:pPr>
      <w:r>
        <w:rPr>
          <w:rFonts w:cs="Calibri"/>
        </w:rPr>
        <w:t xml:space="preserve">Increased social and family relationships </w:t>
      </w:r>
    </w:p>
    <w:p w14:paraId="2EA4CEC4" w14:textId="044DFBF9" w:rsidR="005E235B" w:rsidRPr="00CE3446" w:rsidRDefault="005E235B" w:rsidP="002346F1">
      <w:pPr>
        <w:pStyle w:val="ListParagraph"/>
        <w:numPr>
          <w:ilvl w:val="0"/>
          <w:numId w:val="42"/>
        </w:numPr>
        <w:autoSpaceDE w:val="0"/>
        <w:autoSpaceDN w:val="0"/>
        <w:adjustRightInd w:val="0"/>
        <w:spacing w:line="276" w:lineRule="auto"/>
        <w:rPr>
          <w:rFonts w:cs="Calibri"/>
        </w:rPr>
      </w:pPr>
      <w:r>
        <w:rPr>
          <w:rFonts w:cs="Calibri"/>
        </w:rPr>
        <w:t>Increased self-confidence and independence (McLaren et al.</w:t>
      </w:r>
      <w:r w:rsidR="00D25409">
        <w:rPr>
          <w:rFonts w:cs="Calibri"/>
        </w:rPr>
        <w:t>,</w:t>
      </w:r>
      <w:r>
        <w:rPr>
          <w:rFonts w:cs="Calibri"/>
        </w:rPr>
        <w:t xml:space="preserve"> 2017).</w:t>
      </w:r>
    </w:p>
    <w:p w14:paraId="039CFC04" w14:textId="77777777" w:rsidR="005E235B" w:rsidRDefault="005E235B" w:rsidP="00CE427B">
      <w:pPr>
        <w:pStyle w:val="Heading2"/>
      </w:pPr>
      <w:bookmarkStart w:id="112" w:name="_Toc49417938"/>
      <w:r>
        <w:lastRenderedPageBreak/>
        <w:t>Key ingredients of success</w:t>
      </w:r>
      <w:bookmarkEnd w:id="112"/>
    </w:p>
    <w:p w14:paraId="387CCB84" w14:textId="77777777" w:rsidR="005E235B" w:rsidRDefault="005E235B" w:rsidP="00C332EA">
      <w:pPr>
        <w:spacing w:line="276" w:lineRule="auto"/>
      </w:pPr>
      <w:r>
        <w:t>The principles of IPS have been evidenced to be related to the outcomes of the program and a Fidelity model is available to guide practice, based on the 8 principles outlined above.</w:t>
      </w:r>
    </w:p>
    <w:p w14:paraId="26986B49" w14:textId="77777777" w:rsidR="005E235B" w:rsidRPr="003A5FAB" w:rsidRDefault="005E235B" w:rsidP="00C332EA">
      <w:pPr>
        <w:spacing w:line="276" w:lineRule="auto"/>
      </w:pPr>
      <w:r>
        <w:t xml:space="preserve">In addition, in one study involving </w:t>
      </w:r>
      <w:proofErr w:type="gramStart"/>
      <w:r>
        <w:t>a large number of</w:t>
      </w:r>
      <w:proofErr w:type="gramEnd"/>
      <w:r>
        <w:t xml:space="preserve"> young people with intellectual disability, recommendations were made to help overcome barriers to the success of IPS with this group. These include:</w:t>
      </w:r>
    </w:p>
    <w:p w14:paraId="40588B50" w14:textId="5D21504D" w:rsidR="005E235B" w:rsidRPr="00952FD2" w:rsidRDefault="00A332CB" w:rsidP="00C332EA">
      <w:pPr>
        <w:pStyle w:val="ListParagraph"/>
        <w:numPr>
          <w:ilvl w:val="0"/>
          <w:numId w:val="43"/>
        </w:numPr>
        <w:spacing w:line="276" w:lineRule="auto"/>
      </w:pPr>
      <w:r>
        <w:t>“</w:t>
      </w:r>
      <w:r w:rsidR="005E235B">
        <w:t>provide</w:t>
      </w:r>
      <w:r w:rsidR="005E235B" w:rsidRPr="003A5FAB">
        <w:t xml:space="preserve"> job coaching/training at the work site to overcome cognitive problems</w:t>
      </w:r>
      <w:r>
        <w:t>”</w:t>
      </w:r>
    </w:p>
    <w:p w14:paraId="1FE553F5" w14:textId="2BD1003B" w:rsidR="005E235B" w:rsidRPr="00952FD2" w:rsidRDefault="00A332CB" w:rsidP="00C332EA">
      <w:pPr>
        <w:pStyle w:val="ListParagraph"/>
        <w:numPr>
          <w:ilvl w:val="0"/>
          <w:numId w:val="43"/>
        </w:numPr>
        <w:spacing w:line="276" w:lineRule="auto"/>
      </w:pPr>
      <w:r>
        <w:t>“</w:t>
      </w:r>
      <w:r w:rsidR="005E235B">
        <w:t xml:space="preserve">provide </w:t>
      </w:r>
      <w:r w:rsidR="005E235B" w:rsidRPr="003A5FAB">
        <w:t>concurrent social skills training while preserving the IPS rapid job search</w:t>
      </w:r>
      <w:r>
        <w:t>”</w:t>
      </w:r>
    </w:p>
    <w:p w14:paraId="3BD293F4" w14:textId="7721A0A9" w:rsidR="005E235B" w:rsidRDefault="005E235B" w:rsidP="00C332EA">
      <w:pPr>
        <w:pStyle w:val="ListParagraph"/>
        <w:numPr>
          <w:ilvl w:val="0"/>
          <w:numId w:val="43"/>
        </w:numPr>
        <w:spacing w:line="276" w:lineRule="auto"/>
      </w:pPr>
      <w:r>
        <w:t xml:space="preserve">increasing </w:t>
      </w:r>
      <w:r w:rsidR="002A4019">
        <w:t>“</w:t>
      </w:r>
      <w:r>
        <w:t>outreach to the youth and the youth’s family to prevent disengagement from IPS</w:t>
      </w:r>
      <w:r w:rsidR="00C332EA">
        <w:t>”</w:t>
      </w:r>
      <w:r>
        <w:t xml:space="preserve"> (including in relation to low expectations of families related to young people with disability, and family’s concerns for the young person’s safety) (Noel et al.</w:t>
      </w:r>
      <w:r w:rsidR="00191BC6">
        <w:t>,</w:t>
      </w:r>
      <w:r>
        <w:t xml:space="preserve"> 2017, p.</w:t>
      </w:r>
      <w:r w:rsidR="00191BC6">
        <w:t xml:space="preserve"> </w:t>
      </w:r>
      <w:r>
        <w:t>357)</w:t>
      </w:r>
      <w:r w:rsidRPr="003A5FAB">
        <w:t>.</w:t>
      </w:r>
    </w:p>
    <w:p w14:paraId="390C5E49" w14:textId="1817AD7A" w:rsidR="005E235B" w:rsidRPr="00C332EA" w:rsidRDefault="005E235B" w:rsidP="00C332EA">
      <w:pPr>
        <w:spacing w:line="276" w:lineRule="auto"/>
      </w:pPr>
      <w:r>
        <w:t>The IPS model relies on successfully identifying and providing support to overcome barriers to employment. The above study also found that 36% of young people with intellectual disability continued to experience problems with transportation after they found employment which also affected the success of IPS (Noel et al.</w:t>
      </w:r>
      <w:r w:rsidR="00191BC6">
        <w:t>,</w:t>
      </w:r>
      <w:r>
        <w:t xml:space="preserve"> 2017).</w:t>
      </w:r>
    </w:p>
    <w:p w14:paraId="2A89F262" w14:textId="77777777" w:rsidR="005E235B" w:rsidRPr="000F6499" w:rsidRDefault="005E235B" w:rsidP="00C332EA">
      <w:pPr>
        <w:spacing w:line="276" w:lineRule="auto"/>
      </w:pPr>
    </w:p>
    <w:p w14:paraId="7801B8D7" w14:textId="77777777" w:rsidR="005E235B" w:rsidRDefault="005E235B" w:rsidP="00CE427B">
      <w:pPr>
        <w:autoSpaceDE w:val="0"/>
        <w:autoSpaceDN w:val="0"/>
        <w:adjustRightInd w:val="0"/>
        <w:spacing w:before="0" w:after="160" w:line="276" w:lineRule="auto"/>
        <w:rPr>
          <w:rFonts w:cs="Calibri"/>
          <w:color w:val="000000"/>
        </w:rPr>
        <w:sectPr w:rsidR="005E235B" w:rsidSect="00AE1DB2">
          <w:pgSz w:w="11907" w:h="16840" w:code="9"/>
          <w:pgMar w:top="1440" w:right="1531" w:bottom="1440" w:left="1440" w:header="431" w:footer="720" w:gutter="0"/>
          <w:cols w:space="720"/>
          <w:docGrid w:linePitch="360"/>
        </w:sectPr>
      </w:pPr>
    </w:p>
    <w:p w14:paraId="538AA414" w14:textId="459F15B5" w:rsidR="00723517" w:rsidRDefault="00723517" w:rsidP="00CE427B">
      <w:pPr>
        <w:pStyle w:val="Heading1"/>
        <w:pBdr>
          <w:bottom w:val="single" w:sz="4" w:space="1" w:color="auto"/>
        </w:pBdr>
        <w:spacing w:line="276" w:lineRule="auto"/>
      </w:pPr>
      <w:bookmarkStart w:id="113" w:name="_Toc49462477"/>
      <w:r>
        <w:lastRenderedPageBreak/>
        <w:t>evidence piece 12:</w:t>
      </w:r>
      <w:bookmarkEnd w:id="113"/>
    </w:p>
    <w:p w14:paraId="0761E7A9" w14:textId="16B27205" w:rsidR="00411C6F" w:rsidRDefault="00411C6F" w:rsidP="00CE427B">
      <w:pPr>
        <w:pStyle w:val="Heading1"/>
        <w:pBdr>
          <w:bottom w:val="single" w:sz="4" w:space="1" w:color="auto"/>
        </w:pBdr>
        <w:spacing w:line="276" w:lineRule="auto"/>
      </w:pPr>
      <w:bookmarkStart w:id="114" w:name="_Toc49462478"/>
      <w:r>
        <w:t>Customised employment for people with intellectual disability</w:t>
      </w:r>
      <w:bookmarkEnd w:id="114"/>
    </w:p>
    <w:p w14:paraId="5200ED86" w14:textId="77777777" w:rsidR="00411C6F" w:rsidRPr="003328ED" w:rsidRDefault="00411C6F" w:rsidP="00CE427B">
      <w:pPr>
        <w:spacing w:line="276" w:lineRule="auto"/>
      </w:pPr>
    </w:p>
    <w:p w14:paraId="08A51130" w14:textId="1BBA7C72" w:rsidR="00411C6F" w:rsidRDefault="00411C6F" w:rsidP="00CE427B">
      <w:pPr>
        <w:pStyle w:val="Heading2"/>
        <w:spacing w:line="276" w:lineRule="auto"/>
      </w:pPr>
      <w:bookmarkStart w:id="115" w:name="_Toc49417941"/>
      <w:r>
        <w:t xml:space="preserve">What is </w:t>
      </w:r>
      <w:proofErr w:type="spellStart"/>
      <w:r>
        <w:t>customi</w:t>
      </w:r>
      <w:r w:rsidR="00B025F3">
        <w:t>s</w:t>
      </w:r>
      <w:r>
        <w:t>ed</w:t>
      </w:r>
      <w:proofErr w:type="spellEnd"/>
      <w:r>
        <w:t xml:space="preserve"> employment?</w:t>
      </w:r>
      <w:bookmarkEnd w:id="115"/>
    </w:p>
    <w:p w14:paraId="0759B35C" w14:textId="51B11663" w:rsidR="00411C6F" w:rsidRPr="006D66FF" w:rsidRDefault="00411C6F" w:rsidP="00CE427B">
      <w:pPr>
        <w:autoSpaceDE w:val="0"/>
        <w:autoSpaceDN w:val="0"/>
        <w:adjustRightInd w:val="0"/>
        <w:spacing w:line="276" w:lineRule="auto"/>
        <w:rPr>
          <w:rFonts w:cs="TimesNewRomanPSMT"/>
        </w:rPr>
      </w:pPr>
      <w:proofErr w:type="spellStart"/>
      <w:r>
        <w:t>Customised</w:t>
      </w:r>
      <w:proofErr w:type="spellEnd"/>
      <w:r>
        <w:t xml:space="preserve"> employment is part of a suite of approaches that provide supports to job </w:t>
      </w:r>
      <w:r w:rsidRPr="00AC77DB">
        <w:t>seeker</w:t>
      </w:r>
      <w:r>
        <w:t>s</w:t>
      </w:r>
      <w:r w:rsidRPr="00AC77DB">
        <w:t xml:space="preserve"> with </w:t>
      </w:r>
      <w:proofErr w:type="gramStart"/>
      <w:r w:rsidRPr="00AC77DB">
        <w:t>disability, and</w:t>
      </w:r>
      <w:proofErr w:type="gramEnd"/>
      <w:r w:rsidRPr="00AC77DB">
        <w:t xml:space="preserve"> has been particularly designed for people with significant disability (</w:t>
      </w:r>
      <w:proofErr w:type="spellStart"/>
      <w:r w:rsidRPr="00AC77DB">
        <w:t>Wehman</w:t>
      </w:r>
      <w:proofErr w:type="spellEnd"/>
      <w:r w:rsidRPr="00AC77DB">
        <w:t xml:space="preserve"> et al</w:t>
      </w:r>
      <w:r>
        <w:t>.</w:t>
      </w:r>
      <w:r w:rsidR="00630692">
        <w:t>,</w:t>
      </w:r>
      <w:r w:rsidRPr="00AC77DB">
        <w:t xml:space="preserve"> 2018). </w:t>
      </w:r>
      <w:proofErr w:type="spellStart"/>
      <w:r>
        <w:t>Customised</w:t>
      </w:r>
      <w:proofErr w:type="spellEnd"/>
      <w:r>
        <w:t xml:space="preserve"> employment was developed in 2001 in the United States </w:t>
      </w:r>
      <w:r w:rsidRPr="006D66FF">
        <w:t xml:space="preserve">by </w:t>
      </w:r>
      <w:r w:rsidRPr="006D66FF">
        <w:rPr>
          <w:rFonts w:cs="TimesNewRomanPSMT"/>
        </w:rPr>
        <w:t>the U.S. Department</w:t>
      </w:r>
      <w:r w:rsidR="00771C53">
        <w:rPr>
          <w:rFonts w:cs="TimesNewRomanPSMT"/>
        </w:rPr>
        <w:t xml:space="preserve"> </w:t>
      </w:r>
      <w:r w:rsidRPr="006D66FF">
        <w:rPr>
          <w:rFonts w:cs="TimesNewRomanPSMT"/>
        </w:rPr>
        <w:t xml:space="preserve">of Labor’s Office of Disability Employment Policy </w:t>
      </w:r>
      <w:r>
        <w:rPr>
          <w:rFonts w:cs="TimesNewRomanPSMT"/>
        </w:rPr>
        <w:t>and has been used widely in the US since then and extended to other parts of the world (</w:t>
      </w:r>
      <w:proofErr w:type="spellStart"/>
      <w:r>
        <w:rPr>
          <w:rFonts w:cs="TimesNewRomanPSMT"/>
        </w:rPr>
        <w:t>Wehman</w:t>
      </w:r>
      <w:proofErr w:type="spellEnd"/>
      <w:r>
        <w:rPr>
          <w:rFonts w:cs="TimesNewRomanPSMT"/>
        </w:rPr>
        <w:t xml:space="preserve"> et al.</w:t>
      </w:r>
      <w:r w:rsidR="00630692">
        <w:rPr>
          <w:rFonts w:cs="TimesNewRomanPSMT"/>
        </w:rPr>
        <w:t>,</w:t>
      </w:r>
      <w:r>
        <w:rPr>
          <w:rFonts w:cs="TimesNewRomanPSMT"/>
        </w:rPr>
        <w:t xml:space="preserve"> 2018).</w:t>
      </w:r>
    </w:p>
    <w:p w14:paraId="17427BE2" w14:textId="64A3078B" w:rsidR="00411C6F" w:rsidRPr="00AC77DB" w:rsidRDefault="00411C6F" w:rsidP="00CE427B">
      <w:pPr>
        <w:spacing w:line="276" w:lineRule="auto"/>
      </w:pPr>
      <w:r>
        <w:t xml:space="preserve">Unlike traditional approaches to getting a job in the competitive </w:t>
      </w:r>
      <w:proofErr w:type="spellStart"/>
      <w:r>
        <w:t>labour</w:t>
      </w:r>
      <w:proofErr w:type="spellEnd"/>
      <w:r>
        <w:t xml:space="preserve"> market, it does not begin by focusing on job vacancies but focuses on what the person with disability has to offer the </w:t>
      </w:r>
      <w:proofErr w:type="spellStart"/>
      <w:r>
        <w:t>labour</w:t>
      </w:r>
      <w:proofErr w:type="spellEnd"/>
      <w:r>
        <w:t xml:space="preserve"> market (LEAD Center, 2015). </w:t>
      </w:r>
      <w:proofErr w:type="spellStart"/>
      <w:r>
        <w:t>C</w:t>
      </w:r>
      <w:r w:rsidRPr="00AC77DB">
        <w:t>ustomised</w:t>
      </w:r>
      <w:proofErr w:type="spellEnd"/>
      <w:r w:rsidRPr="00AC77DB">
        <w:t xml:space="preserve"> employment </w:t>
      </w:r>
      <w:r>
        <w:t xml:space="preserve">is targeted and pro-active and </w:t>
      </w:r>
      <w:r w:rsidRPr="00AC77DB">
        <w:t xml:space="preserve">works with both the job seeker </w:t>
      </w:r>
      <w:r w:rsidRPr="00D10100">
        <w:rPr>
          <w:i/>
          <w:iCs/>
        </w:rPr>
        <w:t>and</w:t>
      </w:r>
      <w:r w:rsidRPr="00AC77DB">
        <w:t xml:space="preserve"> the employer to </w:t>
      </w:r>
      <w:r w:rsidRPr="000A26BA">
        <w:rPr>
          <w:b/>
          <w:bCs/>
        </w:rPr>
        <w:t>shape a job opportunity</w:t>
      </w:r>
      <w:r>
        <w:t xml:space="preserve"> and a create a specific job description</w:t>
      </w:r>
      <w:r w:rsidRPr="00AC77DB">
        <w:t xml:space="preserve"> to match the requirements of both</w:t>
      </w:r>
      <w:r>
        <w:t xml:space="preserve"> (</w:t>
      </w:r>
      <w:proofErr w:type="spellStart"/>
      <w:r>
        <w:t>Wehman</w:t>
      </w:r>
      <w:proofErr w:type="spellEnd"/>
      <w:r>
        <w:t xml:space="preserve"> et al.</w:t>
      </w:r>
      <w:r w:rsidR="00630692">
        <w:t>,</w:t>
      </w:r>
      <w:r>
        <w:t xml:space="preserve"> 2018; Citron et al.</w:t>
      </w:r>
      <w:r w:rsidR="00B70966">
        <w:t>,</w:t>
      </w:r>
      <w:r>
        <w:t xml:space="preserve"> 2008)</w:t>
      </w:r>
      <w:r w:rsidRPr="00AC77DB">
        <w:t>. It involves:</w:t>
      </w:r>
    </w:p>
    <w:p w14:paraId="6C974E10" w14:textId="5264BBEE" w:rsidR="00411C6F" w:rsidRDefault="00411C6F" w:rsidP="00CE427B">
      <w:pPr>
        <w:spacing w:line="276" w:lineRule="auto"/>
        <w:ind w:left="360" w:right="450"/>
      </w:pPr>
      <w:r w:rsidRPr="00AC77DB">
        <w:t>a well-defined discovery process … identifying the individual’s strengths, interests, and preferences. The outcome of that process then drives the identification of employment opportunities where unique job descriptions are created that match both the employer’s and employee’s needs and interests (</w:t>
      </w:r>
      <w:proofErr w:type="spellStart"/>
      <w:r w:rsidRPr="00AC77DB">
        <w:t>Wehman</w:t>
      </w:r>
      <w:proofErr w:type="spellEnd"/>
      <w:r w:rsidRPr="00AC77DB">
        <w:t xml:space="preserve"> et al., 2018, p.</w:t>
      </w:r>
      <w:r w:rsidR="00AA1A2D">
        <w:t xml:space="preserve"> </w:t>
      </w:r>
      <w:r w:rsidRPr="00AC77DB">
        <w:t>134)</w:t>
      </w:r>
    </w:p>
    <w:p w14:paraId="039AA82A" w14:textId="77777777" w:rsidR="00411C6F" w:rsidRDefault="00411C6F" w:rsidP="00CE427B">
      <w:pPr>
        <w:spacing w:line="276" w:lineRule="auto"/>
        <w:ind w:right="450"/>
      </w:pPr>
      <w:proofErr w:type="spellStart"/>
      <w:r>
        <w:t>Customised</w:t>
      </w:r>
      <w:proofErr w:type="spellEnd"/>
      <w:r>
        <w:t xml:space="preserve"> employment can include a range of strategies such as:</w:t>
      </w:r>
    </w:p>
    <w:p w14:paraId="5F31F98B" w14:textId="77777777" w:rsidR="00411C6F" w:rsidRDefault="00411C6F" w:rsidP="00CE427B">
      <w:pPr>
        <w:spacing w:line="276" w:lineRule="auto"/>
        <w:ind w:left="2250" w:hanging="1800"/>
      </w:pPr>
      <w:r>
        <w:t xml:space="preserve">Job carving: </w:t>
      </w:r>
      <w:r>
        <w:tab/>
        <w:t>Crafting a job out of some elements or tasks of a job description, but not all.</w:t>
      </w:r>
    </w:p>
    <w:p w14:paraId="1B3F42BC" w14:textId="77777777" w:rsidR="00411C6F" w:rsidRDefault="00411C6F" w:rsidP="00CE427B">
      <w:pPr>
        <w:spacing w:line="276" w:lineRule="auto"/>
        <w:ind w:left="2250" w:hanging="1800"/>
      </w:pPr>
      <w:r>
        <w:t>Job negotiation:</w:t>
      </w:r>
      <w:r>
        <w:tab/>
        <w:t>Combining tasks from multiple job descriptions within a business into a new job description.</w:t>
      </w:r>
    </w:p>
    <w:p w14:paraId="64EFD5B9" w14:textId="77777777" w:rsidR="00411C6F" w:rsidRDefault="00411C6F" w:rsidP="00CE427B">
      <w:pPr>
        <w:spacing w:line="276" w:lineRule="auto"/>
        <w:ind w:left="2250" w:hanging="1800"/>
      </w:pPr>
      <w:r>
        <w:t>Job creation:</w:t>
      </w:r>
      <w:r>
        <w:tab/>
        <w:t>A new job description is created from unmet business needs identified during discussions with the employer (usually led by an employment specialist).</w:t>
      </w:r>
    </w:p>
    <w:p w14:paraId="5FE71995" w14:textId="77777777" w:rsidR="00411C6F" w:rsidRDefault="00411C6F" w:rsidP="00CE427B">
      <w:pPr>
        <w:spacing w:line="276" w:lineRule="auto"/>
        <w:ind w:left="2250" w:hanging="1800"/>
      </w:pPr>
      <w:r>
        <w:t>Job sharing:</w:t>
      </w:r>
      <w:r>
        <w:tab/>
        <w:t>Two or more people sharing the same job.</w:t>
      </w:r>
    </w:p>
    <w:p w14:paraId="3FCD613D" w14:textId="518026D7" w:rsidR="00411C6F" w:rsidRDefault="00411C6F" w:rsidP="00CE427B">
      <w:pPr>
        <w:spacing w:line="276" w:lineRule="auto"/>
        <w:ind w:left="2250" w:hanging="1800"/>
      </w:pPr>
      <w:r>
        <w:t>Self-employment:</w:t>
      </w:r>
      <w:r>
        <w:tab/>
        <w:t xml:space="preserve">Creation and operation of a self-owned business (or microenterprise) with or without the help of paid (e.g., service agencies) or unpaid (e.g., family members) support. (Adapted from </w:t>
      </w:r>
      <w:proofErr w:type="spellStart"/>
      <w:r>
        <w:t>Wehman</w:t>
      </w:r>
      <w:proofErr w:type="spellEnd"/>
      <w:r>
        <w:t xml:space="preserve"> et al., 2018, p. 135</w:t>
      </w:r>
      <w:r w:rsidR="00763F1C">
        <w:t>,</w:t>
      </w:r>
      <w:r>
        <w:t xml:space="preserve"> and Citron et al., 2008, p.</w:t>
      </w:r>
      <w:r w:rsidR="00AA1A2D">
        <w:t xml:space="preserve"> </w:t>
      </w:r>
      <w:r>
        <w:t>170).</w:t>
      </w:r>
    </w:p>
    <w:p w14:paraId="4E96556C" w14:textId="46DCDC4D" w:rsidR="00411C6F" w:rsidRDefault="00411C6F" w:rsidP="00CE427B">
      <w:pPr>
        <w:autoSpaceDE w:val="0"/>
        <w:autoSpaceDN w:val="0"/>
        <w:adjustRightInd w:val="0"/>
        <w:spacing w:line="276" w:lineRule="auto"/>
        <w:rPr>
          <w:rFonts w:cs="Times-Roman"/>
        </w:rPr>
      </w:pPr>
      <w:r>
        <w:rPr>
          <w:rFonts w:cs="Times-Roman"/>
        </w:rPr>
        <w:t xml:space="preserve">Researchers from the United States explain that </w:t>
      </w:r>
      <w:proofErr w:type="spellStart"/>
      <w:r>
        <w:rPr>
          <w:rFonts w:cs="Times-Roman"/>
        </w:rPr>
        <w:t>customi</w:t>
      </w:r>
      <w:r w:rsidR="00B025F3">
        <w:rPr>
          <w:rFonts w:cs="Times-Roman"/>
        </w:rPr>
        <w:t>s</w:t>
      </w:r>
      <w:r>
        <w:rPr>
          <w:rFonts w:cs="Times-Roman"/>
        </w:rPr>
        <w:t>ed</w:t>
      </w:r>
      <w:proofErr w:type="spellEnd"/>
      <w:r>
        <w:rPr>
          <w:rFonts w:cs="Times-Roman"/>
        </w:rPr>
        <w:t xml:space="preserve"> employment importantly focuses on delivering a </w:t>
      </w:r>
      <w:r w:rsidR="00763F1C">
        <w:rPr>
          <w:rFonts w:cs="Times-Roman"/>
        </w:rPr>
        <w:t>‘</w:t>
      </w:r>
      <w:r>
        <w:rPr>
          <w:rFonts w:cs="Times-Roman"/>
        </w:rPr>
        <w:t>win-win</w:t>
      </w:r>
      <w:r w:rsidR="00763F1C">
        <w:rPr>
          <w:rFonts w:cs="Times-Roman"/>
        </w:rPr>
        <w:t>’</w:t>
      </w:r>
      <w:r>
        <w:rPr>
          <w:rFonts w:cs="Times-Roman"/>
        </w:rPr>
        <w:t xml:space="preserve"> for both employee and employer:</w:t>
      </w:r>
    </w:p>
    <w:p w14:paraId="7857DC5C" w14:textId="0F32FFAE" w:rsidR="00411C6F" w:rsidRDefault="00411C6F" w:rsidP="00CE427B">
      <w:pPr>
        <w:autoSpaceDE w:val="0"/>
        <w:autoSpaceDN w:val="0"/>
        <w:adjustRightInd w:val="0"/>
        <w:spacing w:line="276" w:lineRule="auto"/>
        <w:ind w:left="360" w:right="360"/>
        <w:rPr>
          <w:rFonts w:cs="Times-Roman"/>
        </w:rPr>
      </w:pPr>
      <w:r w:rsidRPr="00196962">
        <w:rPr>
          <w:rFonts w:cs="Times-Roman"/>
        </w:rPr>
        <w:t>Customized employment opportunities</w:t>
      </w:r>
      <w:r>
        <w:rPr>
          <w:rFonts w:cs="Times-Roman"/>
        </w:rPr>
        <w:t xml:space="preserve"> </w:t>
      </w:r>
      <w:r w:rsidRPr="00196962">
        <w:rPr>
          <w:rFonts w:cs="Times-Roman"/>
        </w:rPr>
        <w:t>by definition are successful because there</w:t>
      </w:r>
      <w:r>
        <w:rPr>
          <w:rFonts w:cs="Times-Roman"/>
        </w:rPr>
        <w:t xml:space="preserve"> </w:t>
      </w:r>
      <w:r w:rsidRPr="00196962">
        <w:rPr>
          <w:rFonts w:cs="Times-Roman"/>
        </w:rPr>
        <w:t>is a specific match between the employer’s needs</w:t>
      </w:r>
      <w:r>
        <w:rPr>
          <w:rFonts w:cs="Times-Roman"/>
        </w:rPr>
        <w:t xml:space="preserve"> </w:t>
      </w:r>
      <w:r w:rsidRPr="00196962">
        <w:rPr>
          <w:rFonts w:cs="Times-Roman"/>
        </w:rPr>
        <w:t>and the strengths, preferences, interests, talents, and</w:t>
      </w:r>
      <w:r>
        <w:rPr>
          <w:rFonts w:cs="Times-Roman"/>
        </w:rPr>
        <w:t xml:space="preserve"> </w:t>
      </w:r>
      <w:r w:rsidRPr="00196962">
        <w:rPr>
          <w:rFonts w:cs="Times-Roman"/>
        </w:rPr>
        <w:t>what works/doesn’t work for the individual with a</w:t>
      </w:r>
      <w:r>
        <w:rPr>
          <w:rFonts w:cs="Times-Roman"/>
        </w:rPr>
        <w:t xml:space="preserve"> </w:t>
      </w:r>
      <w:r w:rsidRPr="00196962">
        <w:rPr>
          <w:rFonts w:cs="Times-Roman"/>
        </w:rPr>
        <w:t>disability that the employer can, as part of his/her</w:t>
      </w:r>
      <w:r>
        <w:rPr>
          <w:rFonts w:cs="Times-Roman"/>
        </w:rPr>
        <w:t xml:space="preserve"> </w:t>
      </w:r>
      <w:r w:rsidRPr="00196962">
        <w:rPr>
          <w:rFonts w:cs="Times-Roman"/>
        </w:rPr>
        <w:t>day-to-day business practices or with minimal reasonable</w:t>
      </w:r>
      <w:r>
        <w:rPr>
          <w:rFonts w:cs="Times-Roman"/>
        </w:rPr>
        <w:t xml:space="preserve"> </w:t>
      </w:r>
      <w:r w:rsidRPr="00196962">
        <w:rPr>
          <w:rFonts w:cs="Times-Roman"/>
        </w:rPr>
        <w:t>accommodations, provide</w:t>
      </w:r>
      <w:r>
        <w:rPr>
          <w:rFonts w:cs="Times-Roman"/>
        </w:rPr>
        <w:t xml:space="preserve"> </w:t>
      </w:r>
      <w:r w:rsidRPr="00196962">
        <w:rPr>
          <w:rFonts w:cs="Times-Roman"/>
        </w:rPr>
        <w:t>(</w:t>
      </w:r>
      <w:proofErr w:type="spellStart"/>
      <w:r w:rsidRPr="00196962">
        <w:rPr>
          <w:rFonts w:cs="Times-Roman"/>
        </w:rPr>
        <w:t>Ouimette</w:t>
      </w:r>
      <w:proofErr w:type="spellEnd"/>
      <w:r w:rsidRPr="00196962">
        <w:rPr>
          <w:rFonts w:cs="Times-Roman"/>
        </w:rPr>
        <w:t xml:space="preserve"> </w:t>
      </w:r>
      <w:r w:rsidR="00054ABE">
        <w:rPr>
          <w:rFonts w:cs="Times-Roman"/>
        </w:rPr>
        <w:t>&amp;</w:t>
      </w:r>
      <w:r w:rsidRPr="00196962">
        <w:rPr>
          <w:rFonts w:cs="Times-Roman"/>
        </w:rPr>
        <w:t xml:space="preserve"> </w:t>
      </w:r>
      <w:proofErr w:type="spellStart"/>
      <w:r w:rsidRPr="00196962">
        <w:rPr>
          <w:rFonts w:cs="Times-Roman"/>
        </w:rPr>
        <w:t>Rammler</w:t>
      </w:r>
      <w:proofErr w:type="spellEnd"/>
      <w:r w:rsidRPr="00196962">
        <w:rPr>
          <w:rFonts w:cs="Times-Roman"/>
        </w:rPr>
        <w:t xml:space="preserve"> 2017, p.</w:t>
      </w:r>
      <w:r w:rsidR="00054ABE">
        <w:rPr>
          <w:rFonts w:cs="Times-Roman"/>
        </w:rPr>
        <w:t xml:space="preserve"> </w:t>
      </w:r>
      <w:r w:rsidRPr="00196962">
        <w:rPr>
          <w:rFonts w:cs="Times-Roman"/>
        </w:rPr>
        <w:t>334)</w:t>
      </w:r>
      <w:r w:rsidR="0011617C">
        <w:rPr>
          <w:rFonts w:cs="Times-Roman"/>
        </w:rPr>
        <w:t>.</w:t>
      </w:r>
    </w:p>
    <w:p w14:paraId="7ABE3878" w14:textId="77777777" w:rsidR="00771C53" w:rsidRPr="00196962" w:rsidRDefault="00771C53" w:rsidP="00CE427B">
      <w:pPr>
        <w:autoSpaceDE w:val="0"/>
        <w:autoSpaceDN w:val="0"/>
        <w:adjustRightInd w:val="0"/>
        <w:spacing w:line="276" w:lineRule="auto"/>
        <w:ind w:left="360" w:right="360"/>
        <w:rPr>
          <w:rFonts w:cs="TimesNewRomanPSMT"/>
        </w:rPr>
      </w:pPr>
    </w:p>
    <w:p w14:paraId="5DADA43D" w14:textId="77777777" w:rsidR="00411C6F" w:rsidRPr="006D66FF" w:rsidRDefault="00411C6F" w:rsidP="00CE427B">
      <w:pPr>
        <w:autoSpaceDE w:val="0"/>
        <w:autoSpaceDN w:val="0"/>
        <w:adjustRightInd w:val="0"/>
        <w:spacing w:after="75" w:line="276" w:lineRule="auto"/>
        <w:rPr>
          <w:rFonts w:cs="Calibri"/>
        </w:rPr>
      </w:pPr>
      <w:r w:rsidRPr="006D66FF">
        <w:rPr>
          <w:rFonts w:cs="Calibri"/>
        </w:rPr>
        <w:lastRenderedPageBreak/>
        <w:t>Common ingredients include</w:t>
      </w:r>
      <w:r>
        <w:rPr>
          <w:rFonts w:cs="Calibri"/>
        </w:rPr>
        <w:t>:</w:t>
      </w:r>
    </w:p>
    <w:p w14:paraId="6982AAE0" w14:textId="77777777" w:rsidR="00411C6F" w:rsidRPr="00681139" w:rsidRDefault="00411C6F" w:rsidP="00695832">
      <w:pPr>
        <w:pStyle w:val="ListParagraph"/>
        <w:numPr>
          <w:ilvl w:val="0"/>
          <w:numId w:val="44"/>
        </w:numPr>
        <w:autoSpaceDE w:val="0"/>
        <w:autoSpaceDN w:val="0"/>
        <w:adjustRightInd w:val="0"/>
        <w:spacing w:before="0" w:after="75" w:line="276" w:lineRule="auto"/>
        <w:rPr>
          <w:rFonts w:cs="Calibri"/>
        </w:rPr>
      </w:pPr>
      <w:r w:rsidRPr="00681139">
        <w:rPr>
          <w:rFonts w:cs="Calibri"/>
        </w:rPr>
        <w:t xml:space="preserve">The job-seeker’s interests, preferences, and talents drive the employment development process, not the </w:t>
      </w:r>
      <w:proofErr w:type="spellStart"/>
      <w:r w:rsidRPr="00681139">
        <w:rPr>
          <w:rFonts w:cs="Calibri"/>
        </w:rPr>
        <w:t>labo</w:t>
      </w:r>
      <w:r>
        <w:rPr>
          <w:rFonts w:cs="Calibri"/>
        </w:rPr>
        <w:t>u</w:t>
      </w:r>
      <w:r w:rsidRPr="00681139">
        <w:rPr>
          <w:rFonts w:cs="Calibri"/>
        </w:rPr>
        <w:t>r</w:t>
      </w:r>
      <w:proofErr w:type="spellEnd"/>
      <w:r w:rsidRPr="00681139">
        <w:rPr>
          <w:rFonts w:cs="Calibri"/>
        </w:rPr>
        <w:t xml:space="preserve"> market; </w:t>
      </w:r>
    </w:p>
    <w:p w14:paraId="54E230BC" w14:textId="77777777" w:rsidR="00411C6F" w:rsidRPr="00681139" w:rsidRDefault="00411C6F" w:rsidP="00695832">
      <w:pPr>
        <w:pStyle w:val="ListParagraph"/>
        <w:numPr>
          <w:ilvl w:val="0"/>
          <w:numId w:val="44"/>
        </w:numPr>
        <w:autoSpaceDE w:val="0"/>
        <w:autoSpaceDN w:val="0"/>
        <w:adjustRightInd w:val="0"/>
        <w:spacing w:before="0" w:after="75" w:line="276" w:lineRule="auto"/>
        <w:rPr>
          <w:rFonts w:cs="Calibri"/>
        </w:rPr>
      </w:pPr>
      <w:r w:rsidRPr="00681139">
        <w:rPr>
          <w:rFonts w:cs="Calibri"/>
        </w:rPr>
        <w:t xml:space="preserve">A negotiation of mutual benefit between the </w:t>
      </w:r>
      <w:proofErr w:type="gramStart"/>
      <w:r w:rsidRPr="00681139">
        <w:rPr>
          <w:rFonts w:cs="Calibri"/>
        </w:rPr>
        <w:t>job-seeker</w:t>
      </w:r>
      <w:proofErr w:type="gramEnd"/>
      <w:r w:rsidRPr="00681139">
        <w:rPr>
          <w:rFonts w:cs="Calibri"/>
        </w:rPr>
        <w:t xml:space="preserve"> and the employer</w:t>
      </w:r>
      <w:r>
        <w:rPr>
          <w:rFonts w:cs="Calibri"/>
        </w:rPr>
        <w:t>;</w:t>
      </w:r>
    </w:p>
    <w:p w14:paraId="04748294" w14:textId="77777777" w:rsidR="00411C6F" w:rsidRDefault="00411C6F" w:rsidP="00695832">
      <w:pPr>
        <w:pStyle w:val="ListParagraph"/>
        <w:numPr>
          <w:ilvl w:val="0"/>
          <w:numId w:val="44"/>
        </w:numPr>
        <w:snapToGrid w:val="0"/>
        <w:spacing w:before="0" w:after="120" w:line="276" w:lineRule="auto"/>
      </w:pPr>
      <w:r>
        <w:t xml:space="preserve">The provision of </w:t>
      </w:r>
      <w:r w:rsidRPr="00681139">
        <w:t>long</w:t>
      </w:r>
      <w:r>
        <w:t>-</w:t>
      </w:r>
      <w:r w:rsidRPr="00681139">
        <w:t>term workplace supports</w:t>
      </w:r>
      <w:r>
        <w:t>, such as workplace training and support,</w:t>
      </w:r>
      <w:r w:rsidRPr="00681139">
        <w:t xml:space="preserve"> that are not time limited</w:t>
      </w:r>
      <w:r>
        <w:t>;</w:t>
      </w:r>
      <w:r w:rsidRPr="00681139">
        <w:t xml:space="preserve"> </w:t>
      </w:r>
    </w:p>
    <w:p w14:paraId="04C218EC" w14:textId="29FD0114" w:rsidR="00411C6F" w:rsidRPr="00681139" w:rsidRDefault="00411C6F" w:rsidP="00695832">
      <w:pPr>
        <w:pStyle w:val="ListParagraph"/>
        <w:numPr>
          <w:ilvl w:val="0"/>
          <w:numId w:val="44"/>
        </w:numPr>
        <w:snapToGrid w:val="0"/>
        <w:spacing w:before="0" w:after="120" w:line="276" w:lineRule="auto"/>
      </w:pPr>
      <w:r w:rsidRPr="00681139">
        <w:t>Long</w:t>
      </w:r>
      <w:r>
        <w:t>-</w:t>
      </w:r>
      <w:r w:rsidRPr="00681139">
        <w:t>term supports are tailored to the needs of the person and to the employer to ensure ongoing employment is maintained</w:t>
      </w:r>
      <w:r>
        <w:t xml:space="preserve"> </w:t>
      </w:r>
      <w:r w:rsidRPr="00681139">
        <w:t xml:space="preserve">(Inge et al., 2018; King &amp; Waghorn, 2018; </w:t>
      </w:r>
      <w:proofErr w:type="spellStart"/>
      <w:r w:rsidRPr="00681139">
        <w:t>Luecking</w:t>
      </w:r>
      <w:proofErr w:type="spellEnd"/>
      <w:r w:rsidRPr="00681139">
        <w:t xml:space="preserve"> &amp; </w:t>
      </w:r>
      <w:proofErr w:type="spellStart"/>
      <w:r w:rsidRPr="00681139">
        <w:t>Luecking</w:t>
      </w:r>
      <w:proofErr w:type="spellEnd"/>
      <w:r w:rsidRPr="00681139">
        <w:t xml:space="preserve">, 2006; </w:t>
      </w:r>
      <w:proofErr w:type="spellStart"/>
      <w:r w:rsidRPr="00681139">
        <w:t>Riesen</w:t>
      </w:r>
      <w:proofErr w:type="spellEnd"/>
      <w:r w:rsidRPr="00681139">
        <w:t xml:space="preserve"> et al., 2015; Smith, </w:t>
      </w:r>
      <w:proofErr w:type="spellStart"/>
      <w:r w:rsidRPr="00681139">
        <w:t>McVilly</w:t>
      </w:r>
      <w:proofErr w:type="spellEnd"/>
      <w:r w:rsidRPr="00681139">
        <w:t xml:space="preserve">, Rhodes, &amp; </w:t>
      </w:r>
      <w:proofErr w:type="spellStart"/>
      <w:r w:rsidRPr="00681139">
        <w:t>Pavlidis</w:t>
      </w:r>
      <w:proofErr w:type="spellEnd"/>
      <w:r w:rsidRPr="00681139">
        <w:t xml:space="preserve">, 2018; </w:t>
      </w:r>
      <w:proofErr w:type="spellStart"/>
      <w:r w:rsidR="00B47CB3">
        <w:t>Szoc</w:t>
      </w:r>
      <w:proofErr w:type="spellEnd"/>
      <w:r w:rsidR="00B47CB3">
        <w:t xml:space="preserve"> &amp; Harvey, 2009</w:t>
      </w:r>
      <w:r w:rsidRPr="00681139">
        <w:t xml:space="preserve">; </w:t>
      </w:r>
      <w:proofErr w:type="spellStart"/>
      <w:r w:rsidRPr="00681139">
        <w:t>Wehman</w:t>
      </w:r>
      <w:proofErr w:type="spellEnd"/>
      <w:r w:rsidRPr="00681139">
        <w:t xml:space="preserve"> et al., 2018). </w:t>
      </w:r>
    </w:p>
    <w:p w14:paraId="2542CF35" w14:textId="2171B09F" w:rsidR="00411C6F" w:rsidRDefault="00411C6F" w:rsidP="00CE427B">
      <w:pPr>
        <w:autoSpaceDE w:val="0"/>
        <w:autoSpaceDN w:val="0"/>
        <w:adjustRightInd w:val="0"/>
        <w:spacing w:line="276" w:lineRule="auto"/>
        <w:rPr>
          <w:rFonts w:cs="Times-Roman"/>
        </w:rPr>
      </w:pPr>
      <w:proofErr w:type="spellStart"/>
      <w:r>
        <w:t>Customised</w:t>
      </w:r>
      <w:proofErr w:type="spellEnd"/>
      <w:r>
        <w:t xml:space="preserve"> employment is typically a lengthy process to build an understanding of the individual with disability and to build an appropriately matched job with an employer. Overall, the </w:t>
      </w:r>
      <w:proofErr w:type="spellStart"/>
      <w:r>
        <w:t>customi</w:t>
      </w:r>
      <w:r w:rsidR="00B025F3">
        <w:t>s</w:t>
      </w:r>
      <w:r>
        <w:t>ed</w:t>
      </w:r>
      <w:proofErr w:type="spellEnd"/>
      <w:r>
        <w:t xml:space="preserve"> employment process is resource intensive. One US study found that the mean duration </w:t>
      </w:r>
      <w:r w:rsidRPr="00212D02">
        <w:rPr>
          <w:rFonts w:cs="Times-Roman"/>
        </w:rPr>
        <w:t xml:space="preserve">from </w:t>
      </w:r>
      <w:r>
        <w:rPr>
          <w:rFonts w:cs="Times-Roman"/>
        </w:rPr>
        <w:t xml:space="preserve">commencement of the </w:t>
      </w:r>
      <w:proofErr w:type="spellStart"/>
      <w:r>
        <w:rPr>
          <w:rFonts w:cs="Times-Roman"/>
        </w:rPr>
        <w:t>customi</w:t>
      </w:r>
      <w:r w:rsidR="00B025F3">
        <w:rPr>
          <w:rFonts w:cs="Times-Roman"/>
        </w:rPr>
        <w:t>s</w:t>
      </w:r>
      <w:r>
        <w:rPr>
          <w:rFonts w:cs="Times-Roman"/>
        </w:rPr>
        <w:t>ed</w:t>
      </w:r>
      <w:proofErr w:type="spellEnd"/>
      <w:r>
        <w:rPr>
          <w:rFonts w:cs="Times-Roman"/>
        </w:rPr>
        <w:t xml:space="preserve"> employment process (at step 1 Discovery) to </w:t>
      </w:r>
      <w:r w:rsidRPr="00212D02">
        <w:rPr>
          <w:rFonts w:cs="Times-Roman"/>
        </w:rPr>
        <w:t>job placement was 128 days (range = 11 to 374 days)</w:t>
      </w:r>
      <w:r>
        <w:rPr>
          <w:rFonts w:cs="Times-Roman"/>
        </w:rPr>
        <w:t xml:space="preserve"> </w:t>
      </w:r>
      <w:r w:rsidRPr="00212D02">
        <w:rPr>
          <w:rFonts w:cs="Times-Roman"/>
        </w:rPr>
        <w:t>(</w:t>
      </w:r>
      <w:proofErr w:type="spellStart"/>
      <w:r w:rsidRPr="00212D02">
        <w:rPr>
          <w:rFonts w:cs="Times-Roman"/>
        </w:rPr>
        <w:t>Luecking</w:t>
      </w:r>
      <w:proofErr w:type="spellEnd"/>
      <w:r w:rsidRPr="00212D02">
        <w:rPr>
          <w:rFonts w:cs="Times-Roman"/>
        </w:rPr>
        <w:t xml:space="preserve"> </w:t>
      </w:r>
      <w:r w:rsidR="00004558">
        <w:rPr>
          <w:rFonts w:cs="Times-Roman"/>
        </w:rPr>
        <w:t>&amp;</w:t>
      </w:r>
      <w:r w:rsidRPr="00212D02">
        <w:rPr>
          <w:rFonts w:cs="Times-Roman"/>
        </w:rPr>
        <w:t xml:space="preserve"> </w:t>
      </w:r>
      <w:proofErr w:type="spellStart"/>
      <w:r w:rsidRPr="00212D02">
        <w:rPr>
          <w:rFonts w:cs="Times-Roman"/>
        </w:rPr>
        <w:t>Luecking</w:t>
      </w:r>
      <w:proofErr w:type="spellEnd"/>
      <w:r w:rsidRPr="00212D02">
        <w:rPr>
          <w:rFonts w:cs="Times-Roman"/>
        </w:rPr>
        <w:t>, 2006)</w:t>
      </w:r>
      <w:r>
        <w:rPr>
          <w:rFonts w:cs="Times-Roman"/>
        </w:rPr>
        <w:t>, a time parameter broadly confirmed by other studies in the US context</w:t>
      </w:r>
      <w:r w:rsidRPr="00212D02">
        <w:rPr>
          <w:rFonts w:cs="Times-Roman"/>
        </w:rPr>
        <w:t>.</w:t>
      </w:r>
    </w:p>
    <w:p w14:paraId="0F13E3F2" w14:textId="77777777" w:rsidR="00411C6F" w:rsidRPr="00502399" w:rsidRDefault="00411C6F" w:rsidP="00CE427B">
      <w:pPr>
        <w:autoSpaceDE w:val="0"/>
        <w:autoSpaceDN w:val="0"/>
        <w:adjustRightInd w:val="0"/>
        <w:spacing w:line="276" w:lineRule="auto"/>
        <w:rPr>
          <w:rFonts w:cs="Times-Roman"/>
        </w:rPr>
      </w:pPr>
    </w:p>
    <w:p w14:paraId="091C7D87" w14:textId="29649DE0" w:rsidR="00411C6F" w:rsidRDefault="00411C6F" w:rsidP="00CE427B">
      <w:pPr>
        <w:pStyle w:val="Heading2"/>
        <w:spacing w:line="276" w:lineRule="auto"/>
      </w:pPr>
      <w:bookmarkStart w:id="116" w:name="_Toc49417942"/>
      <w:r w:rsidRPr="00AC77DB">
        <w:t xml:space="preserve">Steps in the </w:t>
      </w:r>
      <w:proofErr w:type="spellStart"/>
      <w:r w:rsidRPr="00AC77DB">
        <w:t>customi</w:t>
      </w:r>
      <w:r w:rsidR="00B025F3">
        <w:t>s</w:t>
      </w:r>
      <w:r w:rsidRPr="00AC77DB">
        <w:t>ed</w:t>
      </w:r>
      <w:proofErr w:type="spellEnd"/>
      <w:r w:rsidRPr="00AC77DB">
        <w:t xml:space="preserve"> employment proces</w:t>
      </w:r>
      <w:r>
        <w:t>s</w:t>
      </w:r>
      <w:bookmarkEnd w:id="116"/>
    </w:p>
    <w:p w14:paraId="250869E1" w14:textId="2E010C1B" w:rsidR="00411C6F" w:rsidRPr="00A170BD" w:rsidRDefault="00411C6F" w:rsidP="00A170BD">
      <w:pPr>
        <w:rPr>
          <w:szCs w:val="21"/>
        </w:rPr>
      </w:pPr>
      <w:r w:rsidRPr="00A170BD">
        <w:rPr>
          <w:szCs w:val="21"/>
        </w:rPr>
        <w:t xml:space="preserve">The </w:t>
      </w:r>
      <w:proofErr w:type="spellStart"/>
      <w:r w:rsidRPr="00A170BD">
        <w:rPr>
          <w:szCs w:val="21"/>
        </w:rPr>
        <w:t>customi</w:t>
      </w:r>
      <w:r w:rsidR="00B025F3" w:rsidRPr="00A170BD">
        <w:rPr>
          <w:szCs w:val="21"/>
        </w:rPr>
        <w:t>s</w:t>
      </w:r>
      <w:r w:rsidRPr="00A170BD">
        <w:rPr>
          <w:szCs w:val="21"/>
        </w:rPr>
        <w:t>ed</w:t>
      </w:r>
      <w:proofErr w:type="spellEnd"/>
      <w:r w:rsidRPr="00A170BD">
        <w:rPr>
          <w:szCs w:val="21"/>
        </w:rPr>
        <w:t xml:space="preserve"> employment process relies on the support of a professional employment specialist who guides and resources the steps of the process.</w:t>
      </w:r>
    </w:p>
    <w:p w14:paraId="4ED29B4E" w14:textId="77777777" w:rsidR="00411C6F" w:rsidRPr="00A170BD" w:rsidRDefault="00411C6F" w:rsidP="00A170BD">
      <w:pPr>
        <w:pStyle w:val="Heading3"/>
        <w:spacing w:before="120"/>
        <w:ind w:left="360"/>
        <w:rPr>
          <w:rFonts w:asciiTheme="minorHAnsi" w:hAnsiTheme="minorHAnsi" w:cstheme="minorHAnsi"/>
          <w:b w:val="0"/>
          <w:bCs/>
        </w:rPr>
      </w:pPr>
      <w:bookmarkStart w:id="117" w:name="_Toc49417943"/>
      <w:r w:rsidRPr="00A170BD">
        <w:rPr>
          <w:rFonts w:asciiTheme="minorHAnsi" w:hAnsiTheme="minorHAnsi" w:cstheme="minorHAnsi"/>
          <w:b w:val="0"/>
          <w:bCs/>
        </w:rPr>
        <w:t>Step 1: ‘Discovery’ process:</w:t>
      </w:r>
      <w:bookmarkEnd w:id="117"/>
      <w:r w:rsidRPr="00A170BD">
        <w:rPr>
          <w:rFonts w:asciiTheme="minorHAnsi" w:hAnsiTheme="minorHAnsi" w:cstheme="minorHAnsi"/>
          <w:b w:val="0"/>
          <w:bCs/>
        </w:rPr>
        <w:t xml:space="preserve"> </w:t>
      </w:r>
    </w:p>
    <w:p w14:paraId="1A5E9AE1" w14:textId="6B171A7B" w:rsidR="00411C6F" w:rsidRPr="00A170BD" w:rsidRDefault="00411C6F" w:rsidP="00A170BD">
      <w:pPr>
        <w:autoSpaceDE w:val="0"/>
        <w:autoSpaceDN w:val="0"/>
        <w:adjustRightInd w:val="0"/>
        <w:spacing w:line="276" w:lineRule="auto"/>
        <w:ind w:left="360"/>
        <w:rPr>
          <w:rFonts w:cs="Arial"/>
          <w:szCs w:val="21"/>
        </w:rPr>
      </w:pPr>
      <w:r w:rsidRPr="00A170BD">
        <w:rPr>
          <w:rFonts w:cs="Calibri"/>
          <w:szCs w:val="21"/>
        </w:rPr>
        <w:t xml:space="preserve">The Discovery process is a </w:t>
      </w:r>
      <w:r w:rsidR="00F7474D" w:rsidRPr="00A170BD">
        <w:rPr>
          <w:rFonts w:cs="Calibri"/>
          <w:szCs w:val="21"/>
        </w:rPr>
        <w:t>“</w:t>
      </w:r>
      <w:r w:rsidRPr="00A170BD">
        <w:rPr>
          <w:rFonts w:cs="Calibri"/>
          <w:szCs w:val="21"/>
        </w:rPr>
        <w:t>p</w:t>
      </w:r>
      <w:r w:rsidRPr="00A170BD">
        <w:rPr>
          <w:szCs w:val="21"/>
        </w:rPr>
        <w:t>erson-centered exploration of an individual’s strengths, preferences, interests, and needs</w:t>
      </w:r>
      <w:r w:rsidR="00F7474D" w:rsidRPr="00A170BD">
        <w:rPr>
          <w:szCs w:val="21"/>
        </w:rPr>
        <w:t>”</w:t>
      </w:r>
      <w:r w:rsidRPr="00A170BD">
        <w:rPr>
          <w:szCs w:val="21"/>
        </w:rPr>
        <w:t xml:space="preserve"> (</w:t>
      </w:r>
      <w:proofErr w:type="spellStart"/>
      <w:r w:rsidRPr="00A170BD">
        <w:rPr>
          <w:szCs w:val="21"/>
        </w:rPr>
        <w:t>Wehman</w:t>
      </w:r>
      <w:proofErr w:type="spellEnd"/>
      <w:r w:rsidRPr="00A170BD">
        <w:rPr>
          <w:szCs w:val="21"/>
        </w:rPr>
        <w:t xml:space="preserve"> et al.</w:t>
      </w:r>
      <w:r w:rsidR="00630692" w:rsidRPr="00A170BD">
        <w:rPr>
          <w:szCs w:val="21"/>
        </w:rPr>
        <w:t>,</w:t>
      </w:r>
      <w:r w:rsidRPr="00A170BD">
        <w:rPr>
          <w:szCs w:val="21"/>
        </w:rPr>
        <w:t xml:space="preserve"> 2018, p.</w:t>
      </w:r>
      <w:r w:rsidR="00A9743A" w:rsidRPr="00A170BD">
        <w:rPr>
          <w:szCs w:val="21"/>
        </w:rPr>
        <w:t xml:space="preserve"> </w:t>
      </w:r>
      <w:r w:rsidRPr="00A170BD">
        <w:rPr>
          <w:szCs w:val="21"/>
        </w:rPr>
        <w:t>134)</w:t>
      </w:r>
      <w:r w:rsidRPr="00A170BD">
        <w:rPr>
          <w:rFonts w:cs="Calibri"/>
          <w:szCs w:val="21"/>
        </w:rPr>
        <w:t>. This might involve vocational assessments as well as discussions with the person, their family and friends (</w:t>
      </w:r>
      <w:proofErr w:type="spellStart"/>
      <w:r w:rsidRPr="00A170BD">
        <w:rPr>
          <w:rFonts w:cs="Calibri"/>
          <w:szCs w:val="21"/>
        </w:rPr>
        <w:t>Wehman</w:t>
      </w:r>
      <w:proofErr w:type="spellEnd"/>
      <w:r w:rsidRPr="00A170BD">
        <w:rPr>
          <w:rFonts w:cs="Calibri"/>
          <w:szCs w:val="21"/>
        </w:rPr>
        <w:t xml:space="preserve"> et al.</w:t>
      </w:r>
      <w:r w:rsidR="00630692" w:rsidRPr="00A170BD">
        <w:rPr>
          <w:rFonts w:cs="Calibri"/>
          <w:szCs w:val="21"/>
        </w:rPr>
        <w:t>,</w:t>
      </w:r>
      <w:r w:rsidRPr="00A170BD">
        <w:rPr>
          <w:rFonts w:cs="Calibri"/>
          <w:szCs w:val="21"/>
        </w:rPr>
        <w:t xml:space="preserve"> 2018). </w:t>
      </w:r>
      <w:r w:rsidRPr="00A170BD">
        <w:rPr>
          <w:rFonts w:cs="Arial"/>
          <w:szCs w:val="21"/>
        </w:rPr>
        <w:t>The Discovery process:</w:t>
      </w:r>
    </w:p>
    <w:p w14:paraId="519EBAB6" w14:textId="122B1B6A" w:rsidR="00411C6F" w:rsidRPr="00A170BD" w:rsidRDefault="00411C6F" w:rsidP="00A170BD">
      <w:pPr>
        <w:autoSpaceDE w:val="0"/>
        <w:autoSpaceDN w:val="0"/>
        <w:adjustRightInd w:val="0"/>
        <w:spacing w:line="276" w:lineRule="auto"/>
        <w:ind w:left="720" w:right="450"/>
        <w:rPr>
          <w:rFonts w:cs="Arial"/>
          <w:szCs w:val="21"/>
        </w:rPr>
      </w:pPr>
      <w:r w:rsidRPr="00A170BD">
        <w:rPr>
          <w:rFonts w:cs="Arial"/>
          <w:szCs w:val="21"/>
        </w:rPr>
        <w:t xml:space="preserve">guides job seekers through a process of finding out who they are, what they want to do, and what they have to offer … [it] collects information about the job seeker’s interests, skills, environmental preferences, employment goals, and other topics related to the job seeker’s employment search, rather than outlining their deficits (LEAD Center, 2015, p. 5). </w:t>
      </w:r>
    </w:p>
    <w:p w14:paraId="7B5BD2A0" w14:textId="4335B813" w:rsidR="00411C6F" w:rsidRPr="00A170BD" w:rsidRDefault="00411C6F" w:rsidP="00A170BD">
      <w:pPr>
        <w:autoSpaceDE w:val="0"/>
        <w:autoSpaceDN w:val="0"/>
        <w:adjustRightInd w:val="0"/>
        <w:spacing w:line="276" w:lineRule="auto"/>
        <w:ind w:left="360"/>
        <w:rPr>
          <w:rFonts w:cs="Arial"/>
          <w:szCs w:val="21"/>
        </w:rPr>
      </w:pPr>
      <w:r w:rsidRPr="00A170BD">
        <w:rPr>
          <w:rFonts w:cs="Arial"/>
          <w:szCs w:val="21"/>
        </w:rPr>
        <w:t>Smith, McVilly, McGillivray</w:t>
      </w:r>
      <w:r w:rsidR="00867EA3" w:rsidRPr="00A170BD">
        <w:rPr>
          <w:rFonts w:cs="Arial"/>
          <w:szCs w:val="21"/>
        </w:rPr>
        <w:t>, and</w:t>
      </w:r>
      <w:r w:rsidR="004A0BCF" w:rsidRPr="00A170BD">
        <w:rPr>
          <w:rFonts w:cs="Arial"/>
          <w:szCs w:val="21"/>
        </w:rPr>
        <w:t xml:space="preserve"> Chan</w:t>
      </w:r>
      <w:r w:rsidRPr="00A170BD">
        <w:rPr>
          <w:rFonts w:cs="Arial"/>
          <w:szCs w:val="21"/>
        </w:rPr>
        <w:t xml:space="preserve"> (2018) highlight that the Discovery process also</w:t>
      </w:r>
    </w:p>
    <w:p w14:paraId="47110456" w14:textId="32876D0F" w:rsidR="00411C6F" w:rsidRPr="00A170BD" w:rsidRDefault="00411C6F" w:rsidP="00A170BD">
      <w:pPr>
        <w:autoSpaceDE w:val="0"/>
        <w:autoSpaceDN w:val="0"/>
        <w:adjustRightInd w:val="0"/>
        <w:spacing w:line="276" w:lineRule="auto"/>
        <w:ind w:left="720" w:right="630"/>
        <w:rPr>
          <w:rFonts w:cs="Times-Roman"/>
          <w:szCs w:val="21"/>
        </w:rPr>
      </w:pPr>
      <w:r w:rsidRPr="00A170BD">
        <w:rPr>
          <w:rFonts w:cs="Times-Roman"/>
          <w:szCs w:val="21"/>
        </w:rPr>
        <w:t xml:space="preserve">identifies and highlights the existing social capital the client can draw upon to make their employment dream a </w:t>
      </w:r>
      <w:proofErr w:type="gramStart"/>
      <w:r w:rsidRPr="00A170BD">
        <w:rPr>
          <w:rFonts w:cs="Times-Roman"/>
          <w:szCs w:val="21"/>
        </w:rPr>
        <w:t>reality, or</w:t>
      </w:r>
      <w:proofErr w:type="gramEnd"/>
      <w:r w:rsidRPr="00A170BD">
        <w:rPr>
          <w:rFonts w:cs="Times-Roman"/>
          <w:szCs w:val="21"/>
        </w:rPr>
        <w:t xml:space="preserve"> identifies where such social capital needs to be built as a first step towards </w:t>
      </w:r>
      <w:proofErr w:type="spellStart"/>
      <w:r w:rsidRPr="00A170BD">
        <w:rPr>
          <w:rFonts w:cs="Times-Roman"/>
          <w:szCs w:val="21"/>
        </w:rPr>
        <w:t>realising</w:t>
      </w:r>
      <w:proofErr w:type="spellEnd"/>
      <w:r w:rsidRPr="00A170BD">
        <w:rPr>
          <w:rFonts w:cs="Times-Roman"/>
          <w:szCs w:val="21"/>
        </w:rPr>
        <w:t xml:space="preserve"> their ambitions (p. 71)</w:t>
      </w:r>
      <w:r w:rsidR="0011617C">
        <w:rPr>
          <w:rFonts w:cs="Times-Roman"/>
          <w:szCs w:val="21"/>
        </w:rPr>
        <w:t>.</w:t>
      </w:r>
      <w:r w:rsidRPr="00A170BD">
        <w:rPr>
          <w:rFonts w:cs="Times-Roman"/>
          <w:szCs w:val="21"/>
        </w:rPr>
        <w:t xml:space="preserve"> </w:t>
      </w:r>
    </w:p>
    <w:p w14:paraId="1C607478" w14:textId="72CB539B" w:rsidR="00411C6F" w:rsidRPr="00A170BD" w:rsidRDefault="00411C6F" w:rsidP="00A170BD">
      <w:pPr>
        <w:autoSpaceDE w:val="0"/>
        <w:autoSpaceDN w:val="0"/>
        <w:adjustRightInd w:val="0"/>
        <w:spacing w:line="276" w:lineRule="auto"/>
        <w:ind w:left="360"/>
        <w:rPr>
          <w:rFonts w:cs="Times-Roman"/>
          <w:szCs w:val="21"/>
        </w:rPr>
      </w:pPr>
      <w:r w:rsidRPr="00A170BD">
        <w:rPr>
          <w:rFonts w:cs="Arial"/>
          <w:szCs w:val="21"/>
        </w:rPr>
        <w:t>Smith, McVilly, McGillivray</w:t>
      </w:r>
      <w:r w:rsidR="004A0BCF" w:rsidRPr="00A170BD">
        <w:rPr>
          <w:rFonts w:cs="Arial"/>
          <w:szCs w:val="21"/>
        </w:rPr>
        <w:t xml:space="preserve">, and Chan </w:t>
      </w:r>
      <w:r w:rsidRPr="00A170BD">
        <w:rPr>
          <w:rFonts w:cs="Times-Roman"/>
          <w:szCs w:val="21"/>
        </w:rPr>
        <w:t>(2018) argue that this focus on illuminating the social capital (information and networks) around the person with disability is a critical additional feature of the Discovery process that enables the link into employment by unlocking the supports and information that exist around the person.</w:t>
      </w:r>
      <w:r w:rsidRPr="00A170BD">
        <w:rPr>
          <w:rFonts w:cs="Arial"/>
          <w:szCs w:val="21"/>
        </w:rPr>
        <w:t xml:space="preserve"> </w:t>
      </w:r>
    </w:p>
    <w:p w14:paraId="0EF54F8A" w14:textId="080D0274" w:rsidR="00411C6F" w:rsidRPr="00A170BD" w:rsidRDefault="00411C6F" w:rsidP="00A170BD">
      <w:pPr>
        <w:autoSpaceDE w:val="0"/>
        <w:autoSpaceDN w:val="0"/>
        <w:adjustRightInd w:val="0"/>
        <w:spacing w:line="276" w:lineRule="auto"/>
        <w:ind w:left="357"/>
        <w:rPr>
          <w:rFonts w:cs="Arial"/>
          <w:szCs w:val="21"/>
        </w:rPr>
      </w:pPr>
      <w:r w:rsidRPr="00A170BD">
        <w:rPr>
          <w:rFonts w:cs="Arial"/>
          <w:szCs w:val="21"/>
        </w:rPr>
        <w:t>The ‘Discovery’ process has been used since the mid 1980’s and so has significant practice resources available to support it. The Discovery process typically involves:</w:t>
      </w:r>
    </w:p>
    <w:p w14:paraId="35987658" w14:textId="38924FD3" w:rsidR="00411C6F" w:rsidRPr="00A170BD" w:rsidRDefault="00411C6F" w:rsidP="00A170BD">
      <w:pPr>
        <w:pStyle w:val="ListParagraph"/>
        <w:numPr>
          <w:ilvl w:val="0"/>
          <w:numId w:val="45"/>
        </w:numPr>
        <w:spacing w:line="276" w:lineRule="auto"/>
        <w:ind w:left="714" w:hanging="357"/>
        <w:contextualSpacing w:val="0"/>
        <w:rPr>
          <w:rFonts w:cs="Calibri"/>
          <w:szCs w:val="21"/>
        </w:rPr>
      </w:pPr>
      <w:r w:rsidRPr="00A170BD">
        <w:rPr>
          <w:rFonts w:cs="Arial"/>
          <w:i/>
          <w:iCs/>
          <w:szCs w:val="21"/>
        </w:rPr>
        <w:t xml:space="preserve">Meet, plan </w:t>
      </w:r>
      <w:proofErr w:type="gramStart"/>
      <w:r w:rsidRPr="00A170BD">
        <w:rPr>
          <w:rFonts w:cs="Arial"/>
          <w:i/>
          <w:iCs/>
          <w:szCs w:val="21"/>
        </w:rPr>
        <w:t>with</w:t>
      </w:r>
      <w:proofErr w:type="gramEnd"/>
      <w:r w:rsidRPr="00A170BD">
        <w:rPr>
          <w:rFonts w:cs="Arial"/>
          <w:i/>
          <w:iCs/>
          <w:szCs w:val="21"/>
        </w:rPr>
        <w:t xml:space="preserve"> and observe the job seeker over a period of time and in different locations/settings/environments</w:t>
      </w:r>
      <w:r w:rsidRPr="00A170BD">
        <w:rPr>
          <w:rFonts w:cs="Arial"/>
          <w:szCs w:val="21"/>
        </w:rPr>
        <w:t xml:space="preserve">. Physically meeting with the person in familiar and unfamiliar environments enables observation of the person’s capacities in use and the resources available </w:t>
      </w:r>
      <w:r w:rsidRPr="00A170BD">
        <w:rPr>
          <w:rFonts w:cs="Arial"/>
          <w:szCs w:val="21"/>
        </w:rPr>
        <w:lastRenderedPageBreak/>
        <w:t>to them. The process involves attending to what are the person’s goals for employment and, because many people have not had the life experience to develop these, also attending to their likes and dislikes;</w:t>
      </w:r>
    </w:p>
    <w:p w14:paraId="7EBE4263" w14:textId="6F0824D8" w:rsidR="00411C6F" w:rsidRPr="00A170BD" w:rsidRDefault="00411C6F" w:rsidP="00A170BD">
      <w:pPr>
        <w:pStyle w:val="ListParagraph"/>
        <w:numPr>
          <w:ilvl w:val="0"/>
          <w:numId w:val="45"/>
        </w:numPr>
        <w:spacing w:line="276" w:lineRule="auto"/>
        <w:ind w:left="714" w:hanging="357"/>
        <w:contextualSpacing w:val="0"/>
        <w:rPr>
          <w:rFonts w:cs="Calibri"/>
          <w:szCs w:val="21"/>
        </w:rPr>
      </w:pPr>
      <w:r w:rsidRPr="00A170BD">
        <w:rPr>
          <w:rFonts w:cs="Arial"/>
          <w:i/>
          <w:iCs/>
          <w:szCs w:val="21"/>
        </w:rPr>
        <w:t>Interview family, friends and other acquaintances</w:t>
      </w:r>
      <w:r w:rsidRPr="00A170BD">
        <w:rPr>
          <w:rFonts w:cs="Arial"/>
          <w:szCs w:val="21"/>
        </w:rPr>
        <w:t xml:space="preserve"> to bring out interests and needs; </w:t>
      </w:r>
    </w:p>
    <w:p w14:paraId="4AB739E8" w14:textId="2647CDB0" w:rsidR="00411C6F" w:rsidRPr="00A170BD" w:rsidRDefault="00411C6F" w:rsidP="00A170BD">
      <w:pPr>
        <w:pStyle w:val="ListParagraph"/>
        <w:numPr>
          <w:ilvl w:val="0"/>
          <w:numId w:val="45"/>
        </w:numPr>
        <w:spacing w:line="276" w:lineRule="auto"/>
        <w:ind w:left="714" w:hanging="357"/>
        <w:contextualSpacing w:val="0"/>
        <w:rPr>
          <w:rFonts w:cs="Calibri"/>
          <w:szCs w:val="21"/>
        </w:rPr>
      </w:pPr>
      <w:proofErr w:type="spellStart"/>
      <w:r w:rsidRPr="00A170BD">
        <w:rPr>
          <w:rFonts w:cs="Arial"/>
          <w:i/>
          <w:iCs/>
          <w:szCs w:val="21"/>
        </w:rPr>
        <w:t>Synthesi</w:t>
      </w:r>
      <w:r w:rsidR="00B025F3" w:rsidRPr="00A170BD">
        <w:rPr>
          <w:rFonts w:cs="Arial"/>
          <w:i/>
          <w:iCs/>
          <w:szCs w:val="21"/>
        </w:rPr>
        <w:t>s</w:t>
      </w:r>
      <w:r w:rsidRPr="00A170BD">
        <w:rPr>
          <w:rFonts w:cs="Arial"/>
          <w:i/>
          <w:iCs/>
          <w:szCs w:val="21"/>
        </w:rPr>
        <w:t>e</w:t>
      </w:r>
      <w:proofErr w:type="spellEnd"/>
      <w:r w:rsidRPr="00A170BD">
        <w:rPr>
          <w:rFonts w:cs="Arial"/>
          <w:i/>
          <w:iCs/>
          <w:szCs w:val="21"/>
        </w:rPr>
        <w:t xml:space="preserve"> observations about the job seeker at home and in the community</w:t>
      </w:r>
      <w:r w:rsidRPr="00A170BD">
        <w:rPr>
          <w:rFonts w:cs="Arial"/>
          <w:szCs w:val="21"/>
        </w:rPr>
        <w:t xml:space="preserve">; most importantly through a discussion with the job seeker. Observation of the person in a range of settings, for example doing volunteer work, in leisure activities, at home, in day services or ADEs, in religious or cultural activities helps identify interests, particularly where a person is unable to </w:t>
      </w:r>
      <w:proofErr w:type="spellStart"/>
      <w:r w:rsidRPr="00A170BD">
        <w:rPr>
          <w:rFonts w:cs="Arial"/>
          <w:szCs w:val="21"/>
        </w:rPr>
        <w:t>verbalise</w:t>
      </w:r>
      <w:proofErr w:type="spellEnd"/>
      <w:r w:rsidRPr="00A170BD">
        <w:rPr>
          <w:rFonts w:cs="Arial"/>
          <w:szCs w:val="21"/>
        </w:rPr>
        <w:t xml:space="preserve"> these;</w:t>
      </w:r>
    </w:p>
    <w:p w14:paraId="03CDF1E9" w14:textId="3BCA12A1" w:rsidR="00411C6F" w:rsidRPr="00A170BD" w:rsidRDefault="00411C6F" w:rsidP="00A170BD">
      <w:pPr>
        <w:pStyle w:val="ListParagraph"/>
        <w:numPr>
          <w:ilvl w:val="0"/>
          <w:numId w:val="45"/>
        </w:numPr>
        <w:spacing w:line="276" w:lineRule="auto"/>
        <w:ind w:left="714" w:hanging="357"/>
        <w:contextualSpacing w:val="0"/>
        <w:rPr>
          <w:rFonts w:cs="Calibri"/>
          <w:szCs w:val="21"/>
        </w:rPr>
      </w:pPr>
      <w:r w:rsidRPr="00A170BD">
        <w:rPr>
          <w:rFonts w:cs="Arial"/>
          <w:i/>
          <w:iCs/>
          <w:szCs w:val="21"/>
        </w:rPr>
        <w:t xml:space="preserve">With the job seeker, identify his/her interests and the businesses in the community that are most strongly aligned with these interests. </w:t>
      </w:r>
      <w:r w:rsidRPr="00A170BD">
        <w:rPr>
          <w:rFonts w:cs="Arial"/>
          <w:szCs w:val="21"/>
        </w:rPr>
        <w:t xml:space="preserve">This might include </w:t>
      </w:r>
      <w:proofErr w:type="spellStart"/>
      <w:r w:rsidRPr="00A170BD">
        <w:rPr>
          <w:rFonts w:cs="Arial"/>
          <w:szCs w:val="21"/>
        </w:rPr>
        <w:t>organi</w:t>
      </w:r>
      <w:r w:rsidR="00B025F3" w:rsidRPr="00A170BD">
        <w:rPr>
          <w:rFonts w:cs="Arial"/>
          <w:szCs w:val="21"/>
        </w:rPr>
        <w:t>s</w:t>
      </w:r>
      <w:r w:rsidRPr="00A170BD">
        <w:rPr>
          <w:rFonts w:cs="Arial"/>
          <w:szCs w:val="21"/>
        </w:rPr>
        <w:t>ing</w:t>
      </w:r>
      <w:proofErr w:type="spellEnd"/>
      <w:r w:rsidRPr="00A170BD">
        <w:rPr>
          <w:rFonts w:cs="Arial"/>
          <w:szCs w:val="21"/>
        </w:rPr>
        <w:t xml:space="preserve"> visits to potential businesses to give the job seeker a concrete experience of the work environment and the type of work proposed. In addition, this step is likely to involve having ‘informational interviews’ (Inge et al.</w:t>
      </w:r>
      <w:r w:rsidR="00F70013" w:rsidRPr="00A170BD">
        <w:rPr>
          <w:rFonts w:cs="Arial"/>
          <w:szCs w:val="21"/>
        </w:rPr>
        <w:t>,</w:t>
      </w:r>
      <w:r w:rsidRPr="00A170BD">
        <w:rPr>
          <w:rFonts w:cs="Arial"/>
          <w:szCs w:val="21"/>
        </w:rPr>
        <w:t xml:space="preserve"> 2018) with employers to learn more about the types of jobs and the industry in order to help shape the thinking about the relevant task mix or the suitability of the match; </w:t>
      </w:r>
    </w:p>
    <w:p w14:paraId="637115EF" w14:textId="07E5E64A" w:rsidR="00411C6F" w:rsidRPr="00A170BD" w:rsidRDefault="00411C6F" w:rsidP="00A170BD">
      <w:pPr>
        <w:pStyle w:val="ListParagraph"/>
        <w:numPr>
          <w:ilvl w:val="0"/>
          <w:numId w:val="45"/>
        </w:numPr>
        <w:spacing w:line="276" w:lineRule="auto"/>
        <w:ind w:left="714" w:hanging="357"/>
        <w:contextualSpacing w:val="0"/>
        <w:rPr>
          <w:rFonts w:cs="Calibri"/>
          <w:szCs w:val="21"/>
        </w:rPr>
      </w:pPr>
      <w:r w:rsidRPr="00A170BD">
        <w:rPr>
          <w:rFonts w:cs="Arial"/>
          <w:i/>
          <w:iCs/>
          <w:szCs w:val="21"/>
        </w:rPr>
        <w:t>Identify the contributions the job seeker has to offer to a business.</w:t>
      </w:r>
      <w:r w:rsidRPr="00A170BD">
        <w:rPr>
          <w:rFonts w:cs="Arial"/>
          <w:szCs w:val="21"/>
        </w:rPr>
        <w:t xml:space="preserve"> This should include observing the job seeker actually undertaking work-related tasks either at home, in a different setting or as part of a set of short negotiated work experience opportunities that might focus on discrete aspects of a job, so as to build up a picture of what is the best match;</w:t>
      </w:r>
    </w:p>
    <w:p w14:paraId="70494B34" w14:textId="287DE7B4" w:rsidR="00411C6F" w:rsidRPr="00A170BD" w:rsidRDefault="00411C6F" w:rsidP="00A170BD">
      <w:pPr>
        <w:pStyle w:val="ListParagraph"/>
        <w:numPr>
          <w:ilvl w:val="0"/>
          <w:numId w:val="45"/>
        </w:numPr>
        <w:spacing w:line="276" w:lineRule="auto"/>
        <w:ind w:left="714" w:hanging="357"/>
        <w:contextualSpacing w:val="0"/>
        <w:rPr>
          <w:rFonts w:cs="Calibri"/>
          <w:szCs w:val="21"/>
        </w:rPr>
      </w:pPr>
      <w:r w:rsidRPr="00A170BD">
        <w:rPr>
          <w:rFonts w:cs="Arial"/>
          <w:i/>
          <w:iCs/>
          <w:szCs w:val="21"/>
        </w:rPr>
        <w:t>Identify the essential versus desirable conditions</w:t>
      </w:r>
      <w:r w:rsidRPr="00A170BD">
        <w:rPr>
          <w:rFonts w:cs="Arial"/>
          <w:szCs w:val="21"/>
        </w:rPr>
        <w:t xml:space="preserve"> that will help the job seeker thrive in an employment situation (Adapted from LEAD Center, 2015, p.</w:t>
      </w:r>
      <w:r w:rsidR="00F16D49" w:rsidRPr="00A170BD">
        <w:rPr>
          <w:rFonts w:cs="Arial"/>
          <w:szCs w:val="21"/>
        </w:rPr>
        <w:t xml:space="preserve"> </w:t>
      </w:r>
      <w:r w:rsidRPr="00A170BD">
        <w:rPr>
          <w:rFonts w:cs="Arial"/>
          <w:szCs w:val="21"/>
        </w:rPr>
        <w:t>6; Inge et al.</w:t>
      </w:r>
      <w:r w:rsidR="00334BA4" w:rsidRPr="00A170BD">
        <w:rPr>
          <w:rFonts w:cs="Arial"/>
          <w:szCs w:val="21"/>
        </w:rPr>
        <w:t>,</w:t>
      </w:r>
      <w:r w:rsidRPr="00A170BD">
        <w:rPr>
          <w:rFonts w:cs="Arial"/>
          <w:szCs w:val="21"/>
        </w:rPr>
        <w:t xml:space="preserve"> 2018).</w:t>
      </w:r>
    </w:p>
    <w:p w14:paraId="408EA4C7" w14:textId="5282D845" w:rsidR="00411C6F" w:rsidRPr="00A170BD" w:rsidRDefault="00411C6F" w:rsidP="00A170BD">
      <w:pPr>
        <w:tabs>
          <w:tab w:val="left" w:pos="720"/>
        </w:tabs>
        <w:autoSpaceDE w:val="0"/>
        <w:autoSpaceDN w:val="0"/>
        <w:adjustRightInd w:val="0"/>
        <w:spacing w:line="276" w:lineRule="auto"/>
        <w:ind w:left="360"/>
        <w:rPr>
          <w:rFonts w:cs="Times-Roman"/>
          <w:szCs w:val="21"/>
        </w:rPr>
      </w:pPr>
      <w:r w:rsidRPr="00A170BD">
        <w:rPr>
          <w:rFonts w:cs="Calibri"/>
          <w:szCs w:val="21"/>
        </w:rPr>
        <w:t>The process typically takes between 20-60 hours, but averages 30 (</w:t>
      </w:r>
      <w:r w:rsidRPr="00A170BD">
        <w:rPr>
          <w:rFonts w:cs="Arial"/>
          <w:szCs w:val="21"/>
        </w:rPr>
        <w:t>Smith, McVilly, McGillivray</w:t>
      </w:r>
      <w:r w:rsidR="00BD760F" w:rsidRPr="00A170BD">
        <w:rPr>
          <w:rFonts w:cs="Arial"/>
          <w:szCs w:val="21"/>
        </w:rPr>
        <w:t xml:space="preserve">, </w:t>
      </w:r>
      <w:r w:rsidR="00DF5710" w:rsidRPr="00A170BD">
        <w:rPr>
          <w:rFonts w:cs="Arial"/>
          <w:szCs w:val="21"/>
        </w:rPr>
        <w:t>&amp;</w:t>
      </w:r>
      <w:r w:rsidR="00BD760F" w:rsidRPr="00A170BD">
        <w:rPr>
          <w:rFonts w:cs="Arial"/>
          <w:szCs w:val="21"/>
        </w:rPr>
        <w:t xml:space="preserve"> Chan</w:t>
      </w:r>
      <w:r w:rsidR="00DF5710" w:rsidRPr="00A170BD">
        <w:rPr>
          <w:rFonts w:cs="Arial"/>
          <w:szCs w:val="21"/>
        </w:rPr>
        <w:t>,</w:t>
      </w:r>
      <w:r w:rsidRPr="00A170BD">
        <w:rPr>
          <w:rFonts w:cs="Arial"/>
          <w:szCs w:val="21"/>
        </w:rPr>
        <w:t xml:space="preserve"> </w:t>
      </w:r>
      <w:r w:rsidRPr="00A170BD">
        <w:rPr>
          <w:rFonts w:cs="Calibri"/>
          <w:szCs w:val="21"/>
        </w:rPr>
        <w:t xml:space="preserve">2018). The output of the Discovery process is a </w:t>
      </w:r>
      <w:r w:rsidR="00620F27" w:rsidRPr="00A170BD">
        <w:rPr>
          <w:rFonts w:cs="Calibri"/>
          <w:szCs w:val="21"/>
        </w:rPr>
        <w:t>‘</w:t>
      </w:r>
      <w:r w:rsidRPr="00A170BD">
        <w:rPr>
          <w:rFonts w:cs="Calibri"/>
          <w:szCs w:val="21"/>
        </w:rPr>
        <w:t>vocational profile</w:t>
      </w:r>
      <w:r w:rsidR="00620F27" w:rsidRPr="00A170BD">
        <w:rPr>
          <w:rFonts w:cs="Calibri"/>
          <w:szCs w:val="21"/>
        </w:rPr>
        <w:t>’</w:t>
      </w:r>
      <w:r w:rsidRPr="00A170BD">
        <w:rPr>
          <w:rFonts w:cs="Calibri"/>
          <w:szCs w:val="21"/>
        </w:rPr>
        <w:t xml:space="preserve"> </w:t>
      </w:r>
      <w:r w:rsidRPr="00A170BD">
        <w:rPr>
          <w:rFonts w:cs="Times-Roman"/>
          <w:szCs w:val="21"/>
        </w:rPr>
        <w:t xml:space="preserve">which describes the individual job seeker, their vocational area or theme, and </w:t>
      </w:r>
      <w:r w:rsidR="00AE0B36" w:rsidRPr="00A170BD">
        <w:rPr>
          <w:rFonts w:cs="Times-Roman"/>
          <w:szCs w:val="21"/>
        </w:rPr>
        <w:t>“</w:t>
      </w:r>
      <w:r w:rsidRPr="00A170BD">
        <w:rPr>
          <w:rFonts w:cs="Times-Roman"/>
          <w:szCs w:val="21"/>
        </w:rPr>
        <w:t>ideal working conditions for the individual</w:t>
      </w:r>
      <w:r w:rsidR="00AE0B36" w:rsidRPr="00A170BD">
        <w:rPr>
          <w:rFonts w:cs="Times-Roman"/>
          <w:szCs w:val="21"/>
        </w:rPr>
        <w:t>”</w:t>
      </w:r>
      <w:r w:rsidRPr="00A170BD">
        <w:rPr>
          <w:rFonts w:cs="Times-Roman"/>
          <w:szCs w:val="21"/>
        </w:rPr>
        <w:t xml:space="preserve"> (</w:t>
      </w:r>
      <w:proofErr w:type="spellStart"/>
      <w:r w:rsidRPr="00A170BD">
        <w:rPr>
          <w:rFonts w:cs="Times-Roman"/>
          <w:szCs w:val="21"/>
        </w:rPr>
        <w:t>Riesen</w:t>
      </w:r>
      <w:proofErr w:type="spellEnd"/>
      <w:r w:rsidRPr="00A170BD">
        <w:rPr>
          <w:rFonts w:cs="Times-Roman"/>
          <w:szCs w:val="21"/>
        </w:rPr>
        <w:t xml:space="preserve"> et al.</w:t>
      </w:r>
      <w:r w:rsidR="00E13BEC" w:rsidRPr="00A170BD">
        <w:rPr>
          <w:rFonts w:cs="Times-Roman"/>
          <w:szCs w:val="21"/>
        </w:rPr>
        <w:t>,</w:t>
      </w:r>
      <w:r w:rsidRPr="00A170BD">
        <w:rPr>
          <w:rFonts w:cs="Times-Roman"/>
          <w:szCs w:val="21"/>
        </w:rPr>
        <w:t xml:space="preserve"> 2015, p.</w:t>
      </w:r>
      <w:r w:rsidR="00E13BEC" w:rsidRPr="00A170BD">
        <w:rPr>
          <w:rFonts w:cs="Times-Roman"/>
          <w:szCs w:val="21"/>
        </w:rPr>
        <w:t xml:space="preserve"> </w:t>
      </w:r>
      <w:r w:rsidRPr="00A170BD">
        <w:rPr>
          <w:rFonts w:cs="Times-Roman"/>
          <w:szCs w:val="21"/>
        </w:rPr>
        <w:t>187). The profile can include pictures of the job seeker performing tasks in a variety of settings (Brown, 2009). This profile is checked by the job seeker and their supporters (Inge et al.</w:t>
      </w:r>
      <w:r w:rsidR="00334BA4" w:rsidRPr="00A170BD">
        <w:rPr>
          <w:rFonts w:cs="Times-Roman"/>
          <w:szCs w:val="21"/>
        </w:rPr>
        <w:t>,</w:t>
      </w:r>
      <w:r w:rsidRPr="00A170BD">
        <w:rPr>
          <w:rFonts w:cs="Times-Roman"/>
          <w:szCs w:val="21"/>
        </w:rPr>
        <w:t xml:space="preserve"> 2018; Brown, 2009). The profile is used as a basis for a </w:t>
      </w:r>
      <w:proofErr w:type="spellStart"/>
      <w:r w:rsidRPr="00A170BD">
        <w:rPr>
          <w:rFonts w:cs="Times-Roman"/>
          <w:szCs w:val="21"/>
        </w:rPr>
        <w:t>customi</w:t>
      </w:r>
      <w:r w:rsidR="00B025F3" w:rsidRPr="00A170BD">
        <w:rPr>
          <w:rFonts w:cs="Times-Roman"/>
          <w:szCs w:val="21"/>
        </w:rPr>
        <w:t>s</w:t>
      </w:r>
      <w:r w:rsidRPr="00A170BD">
        <w:rPr>
          <w:rFonts w:cs="Times-Roman"/>
          <w:szCs w:val="21"/>
        </w:rPr>
        <w:t>ed</w:t>
      </w:r>
      <w:proofErr w:type="spellEnd"/>
      <w:r w:rsidRPr="00A170BD">
        <w:rPr>
          <w:rFonts w:cs="Times-Roman"/>
          <w:szCs w:val="21"/>
        </w:rPr>
        <w:t xml:space="preserve"> planning meeting with the person and supporters (Brown, 2009). Finally, in some models, such as the </w:t>
      </w:r>
      <w:proofErr w:type="spellStart"/>
      <w:r w:rsidRPr="00A170BD">
        <w:rPr>
          <w:rFonts w:cs="Times-Roman"/>
          <w:szCs w:val="21"/>
        </w:rPr>
        <w:t>Individualised</w:t>
      </w:r>
      <w:proofErr w:type="spellEnd"/>
      <w:r w:rsidRPr="00A170BD">
        <w:rPr>
          <w:rFonts w:cs="Times-Roman"/>
          <w:szCs w:val="21"/>
        </w:rPr>
        <w:t xml:space="preserve"> Career Planning model (Brown, 2009), a ‘Representational Portfolio’ is produced which is designed to be used with prospective employers. The portfolio contains information about the </w:t>
      </w:r>
      <w:proofErr w:type="spellStart"/>
      <w:r w:rsidRPr="00A170BD">
        <w:rPr>
          <w:rFonts w:cs="Times-Roman"/>
          <w:szCs w:val="21"/>
        </w:rPr>
        <w:t>customi</w:t>
      </w:r>
      <w:r w:rsidR="00B025F3" w:rsidRPr="00A170BD">
        <w:rPr>
          <w:rFonts w:cs="Times-Roman"/>
          <w:szCs w:val="21"/>
        </w:rPr>
        <w:t>s</w:t>
      </w:r>
      <w:r w:rsidRPr="00A170BD">
        <w:rPr>
          <w:rFonts w:cs="Times-Roman"/>
          <w:szCs w:val="21"/>
        </w:rPr>
        <w:t>ed</w:t>
      </w:r>
      <w:proofErr w:type="spellEnd"/>
      <w:r w:rsidRPr="00A170BD">
        <w:rPr>
          <w:rFonts w:cs="Times-Roman"/>
          <w:szCs w:val="21"/>
        </w:rPr>
        <w:t xml:space="preserve"> employment approach, explaining the ‘win-win’ principle underpinning it, as well as information about the job-seeker </w:t>
      </w:r>
      <w:r w:rsidR="00620F27" w:rsidRPr="00A170BD">
        <w:rPr>
          <w:rFonts w:cs="Times-Roman"/>
          <w:szCs w:val="21"/>
        </w:rPr>
        <w:t>“</w:t>
      </w:r>
      <w:r w:rsidRPr="00A170BD">
        <w:rPr>
          <w:szCs w:val="21"/>
        </w:rPr>
        <w:t>using pictures and text to graphically describe his interests, contributions, and successful support strategies, as well as the specific job tasks he can perform. These tasks become the building blocks of a customized job</w:t>
      </w:r>
      <w:r w:rsidR="00620F27" w:rsidRPr="00A170BD">
        <w:rPr>
          <w:szCs w:val="21"/>
        </w:rPr>
        <w:t>”</w:t>
      </w:r>
      <w:r w:rsidRPr="00A170BD">
        <w:rPr>
          <w:szCs w:val="21"/>
        </w:rPr>
        <w:t xml:space="preserve"> (Brown, 2009, p. 99).</w:t>
      </w:r>
    </w:p>
    <w:p w14:paraId="3B544E25" w14:textId="77777777" w:rsidR="00411C6F" w:rsidRPr="00A170BD" w:rsidRDefault="00411C6F" w:rsidP="00A170BD">
      <w:pPr>
        <w:pStyle w:val="Heading3"/>
        <w:spacing w:before="120"/>
        <w:ind w:left="360"/>
        <w:rPr>
          <w:rFonts w:asciiTheme="minorHAnsi" w:hAnsiTheme="minorHAnsi" w:cstheme="minorHAnsi"/>
          <w:b w:val="0"/>
          <w:bCs/>
        </w:rPr>
      </w:pPr>
      <w:bookmarkStart w:id="118" w:name="_Toc49417944"/>
      <w:r w:rsidRPr="00A170BD">
        <w:rPr>
          <w:rFonts w:asciiTheme="minorHAnsi" w:hAnsiTheme="minorHAnsi" w:cstheme="minorHAnsi"/>
          <w:b w:val="0"/>
          <w:bCs/>
        </w:rPr>
        <w:t>Step 2: Finding and negotiation with employer</w:t>
      </w:r>
      <w:bookmarkEnd w:id="118"/>
    </w:p>
    <w:p w14:paraId="2C46B1D7" w14:textId="09FD5984" w:rsidR="00411C6F" w:rsidRPr="00A170BD" w:rsidRDefault="00411C6F" w:rsidP="00A170BD">
      <w:pPr>
        <w:autoSpaceDE w:val="0"/>
        <w:autoSpaceDN w:val="0"/>
        <w:adjustRightInd w:val="0"/>
        <w:spacing w:line="276" w:lineRule="auto"/>
        <w:ind w:left="360"/>
        <w:rPr>
          <w:szCs w:val="21"/>
        </w:rPr>
      </w:pPr>
      <w:r w:rsidRPr="00A170BD">
        <w:rPr>
          <w:rFonts w:cs="Calibri"/>
          <w:szCs w:val="21"/>
        </w:rPr>
        <w:t>Employers identified through the Discovery process as being a potential match for the job seeker are approached (Brown, 2009). Negotiation with a potential employer focuses on</w:t>
      </w:r>
      <w:r w:rsidRPr="00A170BD">
        <w:rPr>
          <w:szCs w:val="21"/>
        </w:rPr>
        <w:t xml:space="preserve"> satisfying </w:t>
      </w:r>
      <w:r w:rsidR="00620F27" w:rsidRPr="00A170BD">
        <w:rPr>
          <w:szCs w:val="21"/>
        </w:rPr>
        <w:t>“</w:t>
      </w:r>
      <w:r w:rsidRPr="00A170BD">
        <w:rPr>
          <w:szCs w:val="21"/>
        </w:rPr>
        <w:t>an existing need through development of a new (and customized) role</w:t>
      </w:r>
      <w:r w:rsidR="00620F27" w:rsidRPr="00A170BD">
        <w:rPr>
          <w:szCs w:val="21"/>
        </w:rPr>
        <w:t>”</w:t>
      </w:r>
      <w:r w:rsidRPr="00A170BD">
        <w:rPr>
          <w:szCs w:val="21"/>
        </w:rPr>
        <w:t xml:space="preserve"> (</w:t>
      </w:r>
      <w:proofErr w:type="spellStart"/>
      <w:r w:rsidRPr="00A170BD">
        <w:rPr>
          <w:szCs w:val="21"/>
        </w:rPr>
        <w:t>Wehman</w:t>
      </w:r>
      <w:proofErr w:type="spellEnd"/>
      <w:r w:rsidRPr="00A170BD">
        <w:rPr>
          <w:szCs w:val="21"/>
        </w:rPr>
        <w:t xml:space="preserve"> et al.</w:t>
      </w:r>
      <w:r w:rsidR="00630692" w:rsidRPr="00A170BD">
        <w:rPr>
          <w:szCs w:val="21"/>
        </w:rPr>
        <w:t>,</w:t>
      </w:r>
      <w:r w:rsidRPr="00A170BD">
        <w:rPr>
          <w:szCs w:val="21"/>
        </w:rPr>
        <w:t xml:space="preserve"> 2018, p.</w:t>
      </w:r>
      <w:r w:rsidR="00483BBD" w:rsidRPr="00A170BD">
        <w:rPr>
          <w:szCs w:val="21"/>
        </w:rPr>
        <w:t xml:space="preserve"> </w:t>
      </w:r>
      <w:r w:rsidRPr="00A170BD">
        <w:rPr>
          <w:szCs w:val="21"/>
        </w:rPr>
        <w:t xml:space="preserve">135). This includes working directly with the employer to: </w:t>
      </w:r>
    </w:p>
    <w:p w14:paraId="2F215B20" w14:textId="77777777" w:rsidR="00411C6F" w:rsidRPr="00A170BD" w:rsidRDefault="00411C6F" w:rsidP="00A170BD">
      <w:pPr>
        <w:pStyle w:val="ListParagraph"/>
        <w:numPr>
          <w:ilvl w:val="0"/>
          <w:numId w:val="46"/>
        </w:numPr>
        <w:autoSpaceDE w:val="0"/>
        <w:autoSpaceDN w:val="0"/>
        <w:adjustRightInd w:val="0"/>
        <w:spacing w:line="276" w:lineRule="auto"/>
        <w:ind w:left="720"/>
        <w:rPr>
          <w:szCs w:val="21"/>
        </w:rPr>
      </w:pPr>
      <w:proofErr w:type="spellStart"/>
      <w:r w:rsidRPr="00A170BD">
        <w:rPr>
          <w:rFonts w:cs="Times-Roman"/>
          <w:szCs w:val="21"/>
        </w:rPr>
        <w:t>customise</w:t>
      </w:r>
      <w:proofErr w:type="spellEnd"/>
      <w:r w:rsidRPr="00A170BD">
        <w:rPr>
          <w:rFonts w:cs="Times-Roman"/>
          <w:szCs w:val="21"/>
        </w:rPr>
        <w:t xml:space="preserve"> a job description based on current employer needs or on previously unidentified and unmet employer needs; </w:t>
      </w:r>
    </w:p>
    <w:p w14:paraId="2DB1A22F" w14:textId="77777777" w:rsidR="00411C6F" w:rsidRPr="00A170BD" w:rsidRDefault="00411C6F" w:rsidP="00A170BD">
      <w:pPr>
        <w:pStyle w:val="ListParagraph"/>
        <w:numPr>
          <w:ilvl w:val="0"/>
          <w:numId w:val="46"/>
        </w:numPr>
        <w:autoSpaceDE w:val="0"/>
        <w:autoSpaceDN w:val="0"/>
        <w:adjustRightInd w:val="0"/>
        <w:spacing w:line="276" w:lineRule="auto"/>
        <w:ind w:left="720"/>
        <w:rPr>
          <w:szCs w:val="21"/>
        </w:rPr>
      </w:pPr>
      <w:r w:rsidRPr="00A170BD">
        <w:rPr>
          <w:rFonts w:cs="Times-Roman"/>
          <w:szCs w:val="21"/>
        </w:rPr>
        <w:t>develop a set of job duties</w:t>
      </w:r>
    </w:p>
    <w:p w14:paraId="12A7AA76" w14:textId="77777777" w:rsidR="00411C6F" w:rsidRPr="00A170BD" w:rsidRDefault="00411C6F" w:rsidP="00A170BD">
      <w:pPr>
        <w:pStyle w:val="ListParagraph"/>
        <w:numPr>
          <w:ilvl w:val="0"/>
          <w:numId w:val="46"/>
        </w:numPr>
        <w:autoSpaceDE w:val="0"/>
        <w:autoSpaceDN w:val="0"/>
        <w:adjustRightInd w:val="0"/>
        <w:spacing w:line="276" w:lineRule="auto"/>
        <w:ind w:left="720"/>
        <w:rPr>
          <w:szCs w:val="21"/>
        </w:rPr>
      </w:pPr>
      <w:r w:rsidRPr="00A170BD">
        <w:rPr>
          <w:rFonts w:cs="Times-Roman"/>
          <w:szCs w:val="21"/>
        </w:rPr>
        <w:t>develop a work schedule</w:t>
      </w:r>
    </w:p>
    <w:p w14:paraId="45432BFC" w14:textId="77777777" w:rsidR="00411C6F" w:rsidRPr="00A170BD" w:rsidRDefault="00411C6F" w:rsidP="00A170BD">
      <w:pPr>
        <w:pStyle w:val="ListParagraph"/>
        <w:numPr>
          <w:ilvl w:val="0"/>
          <w:numId w:val="46"/>
        </w:numPr>
        <w:autoSpaceDE w:val="0"/>
        <w:autoSpaceDN w:val="0"/>
        <w:adjustRightInd w:val="0"/>
        <w:spacing w:line="276" w:lineRule="auto"/>
        <w:ind w:left="720"/>
        <w:rPr>
          <w:szCs w:val="21"/>
        </w:rPr>
      </w:pPr>
      <w:r w:rsidRPr="00A170BD">
        <w:rPr>
          <w:rFonts w:cs="Times-Roman"/>
          <w:szCs w:val="21"/>
        </w:rPr>
        <w:lastRenderedPageBreak/>
        <w:t xml:space="preserve">develop the job arrangement, along with specifics of supervision (including performance evaluation review), </w:t>
      </w:r>
    </w:p>
    <w:p w14:paraId="3CFB4873" w14:textId="2CCA0A18" w:rsidR="00411C6F" w:rsidRPr="00A170BD" w:rsidRDefault="00411C6F" w:rsidP="00A170BD">
      <w:pPr>
        <w:pStyle w:val="ListParagraph"/>
        <w:numPr>
          <w:ilvl w:val="0"/>
          <w:numId w:val="46"/>
        </w:numPr>
        <w:autoSpaceDE w:val="0"/>
        <w:autoSpaceDN w:val="0"/>
        <w:adjustRightInd w:val="0"/>
        <w:spacing w:line="276" w:lineRule="auto"/>
        <w:ind w:left="720"/>
        <w:rPr>
          <w:szCs w:val="21"/>
        </w:rPr>
      </w:pPr>
      <w:r w:rsidRPr="00A170BD">
        <w:rPr>
          <w:rFonts w:cs="Times-Roman"/>
          <w:szCs w:val="21"/>
        </w:rPr>
        <w:t>determine the job location (</w:t>
      </w:r>
      <w:proofErr w:type="spellStart"/>
      <w:r w:rsidRPr="00A170BD">
        <w:rPr>
          <w:rFonts w:cs="Times-Roman"/>
          <w:szCs w:val="21"/>
        </w:rPr>
        <w:t>Riesen</w:t>
      </w:r>
      <w:proofErr w:type="spellEnd"/>
      <w:r w:rsidRPr="00A170BD">
        <w:rPr>
          <w:rFonts w:cs="Times-Roman"/>
          <w:szCs w:val="21"/>
        </w:rPr>
        <w:t xml:space="preserve"> et al.</w:t>
      </w:r>
      <w:r w:rsidR="00E13BEC" w:rsidRPr="00A170BD">
        <w:rPr>
          <w:rFonts w:cs="Times-Roman"/>
          <w:szCs w:val="21"/>
        </w:rPr>
        <w:t>,</w:t>
      </w:r>
      <w:r w:rsidRPr="00A170BD">
        <w:rPr>
          <w:rFonts w:cs="Times-Roman"/>
          <w:szCs w:val="21"/>
        </w:rPr>
        <w:t xml:space="preserve"> 2015, p. 184).</w:t>
      </w:r>
    </w:p>
    <w:p w14:paraId="09D1A601" w14:textId="79AAA95E" w:rsidR="00411C6F" w:rsidRPr="00A170BD" w:rsidRDefault="00411C6F" w:rsidP="00A170BD">
      <w:pPr>
        <w:autoSpaceDE w:val="0"/>
        <w:autoSpaceDN w:val="0"/>
        <w:adjustRightInd w:val="0"/>
        <w:spacing w:line="276" w:lineRule="auto"/>
        <w:ind w:left="360"/>
        <w:rPr>
          <w:szCs w:val="21"/>
        </w:rPr>
      </w:pPr>
      <w:r w:rsidRPr="00A170BD">
        <w:rPr>
          <w:szCs w:val="21"/>
        </w:rPr>
        <w:t>Each position is ‘</w:t>
      </w:r>
      <w:proofErr w:type="spellStart"/>
      <w:r w:rsidRPr="00A170BD">
        <w:rPr>
          <w:szCs w:val="21"/>
        </w:rPr>
        <w:t>customised</w:t>
      </w:r>
      <w:proofErr w:type="spellEnd"/>
      <w:r w:rsidRPr="00A170BD">
        <w:rPr>
          <w:szCs w:val="21"/>
        </w:rPr>
        <w:t>’ through a person-</w:t>
      </w:r>
      <w:proofErr w:type="spellStart"/>
      <w:r w:rsidRPr="00A170BD">
        <w:rPr>
          <w:szCs w:val="21"/>
        </w:rPr>
        <w:t>centred</w:t>
      </w:r>
      <w:proofErr w:type="spellEnd"/>
      <w:r w:rsidRPr="00A170BD">
        <w:rPr>
          <w:szCs w:val="21"/>
        </w:rPr>
        <w:t>, rather than an employer-</w:t>
      </w:r>
      <w:proofErr w:type="spellStart"/>
      <w:r w:rsidRPr="00A170BD">
        <w:rPr>
          <w:szCs w:val="21"/>
        </w:rPr>
        <w:t>centred</w:t>
      </w:r>
      <w:proofErr w:type="spellEnd"/>
      <w:r w:rsidRPr="00A170BD">
        <w:rPr>
          <w:szCs w:val="21"/>
        </w:rPr>
        <w:t>, lens which also seeks to identify how the job seeker can contribute to the business by meeting unmet needs. This involves a detailed process of discussion and negotiation, and uncovering of employer needs, not simply placement into existing positions (Inge et al.</w:t>
      </w:r>
      <w:r w:rsidR="00334BA4" w:rsidRPr="00A170BD">
        <w:rPr>
          <w:szCs w:val="21"/>
        </w:rPr>
        <w:t>,</w:t>
      </w:r>
      <w:r w:rsidRPr="00A170BD">
        <w:rPr>
          <w:szCs w:val="21"/>
        </w:rPr>
        <w:t xml:space="preserve"> 2018).</w:t>
      </w:r>
    </w:p>
    <w:p w14:paraId="4ADA322E" w14:textId="77777777" w:rsidR="00411C6F" w:rsidRPr="00A170BD" w:rsidRDefault="00411C6F" w:rsidP="00A170BD">
      <w:pPr>
        <w:pStyle w:val="Heading3"/>
        <w:spacing w:before="120"/>
        <w:ind w:left="360"/>
        <w:rPr>
          <w:rFonts w:asciiTheme="minorHAnsi" w:hAnsiTheme="minorHAnsi" w:cstheme="minorHAnsi"/>
          <w:b w:val="0"/>
          <w:bCs/>
        </w:rPr>
      </w:pPr>
      <w:bookmarkStart w:id="119" w:name="_Toc49417945"/>
      <w:r w:rsidRPr="00A170BD">
        <w:rPr>
          <w:rFonts w:asciiTheme="minorHAnsi" w:hAnsiTheme="minorHAnsi" w:cstheme="minorHAnsi"/>
          <w:b w:val="0"/>
          <w:bCs/>
        </w:rPr>
        <w:t xml:space="preserve">Step 3: </w:t>
      </w:r>
      <w:proofErr w:type="spellStart"/>
      <w:r w:rsidRPr="00A170BD">
        <w:rPr>
          <w:rFonts w:asciiTheme="minorHAnsi" w:hAnsiTheme="minorHAnsi" w:cstheme="minorHAnsi"/>
          <w:b w:val="0"/>
          <w:bCs/>
        </w:rPr>
        <w:t>Customised</w:t>
      </w:r>
      <w:proofErr w:type="spellEnd"/>
      <w:r w:rsidRPr="00A170BD">
        <w:rPr>
          <w:rFonts w:asciiTheme="minorHAnsi" w:hAnsiTheme="minorHAnsi" w:cstheme="minorHAnsi"/>
          <w:b w:val="0"/>
          <w:bCs/>
        </w:rPr>
        <w:t xml:space="preserve"> supports</w:t>
      </w:r>
      <w:bookmarkEnd w:id="119"/>
    </w:p>
    <w:p w14:paraId="063A9929" w14:textId="0C50713D" w:rsidR="00CA4AFC" w:rsidRPr="00A170BD" w:rsidRDefault="00411C6F" w:rsidP="00A170BD">
      <w:pPr>
        <w:spacing w:line="276" w:lineRule="auto"/>
        <w:ind w:left="357"/>
        <w:rPr>
          <w:szCs w:val="21"/>
        </w:rPr>
      </w:pPr>
      <w:r w:rsidRPr="00A170BD">
        <w:rPr>
          <w:szCs w:val="21"/>
        </w:rPr>
        <w:t xml:space="preserve">Identification of the </w:t>
      </w:r>
      <w:proofErr w:type="spellStart"/>
      <w:r w:rsidRPr="00A170BD">
        <w:rPr>
          <w:szCs w:val="21"/>
        </w:rPr>
        <w:t>customi</w:t>
      </w:r>
      <w:r w:rsidR="00483BBD" w:rsidRPr="00A170BD">
        <w:rPr>
          <w:szCs w:val="21"/>
        </w:rPr>
        <w:t>s</w:t>
      </w:r>
      <w:r w:rsidRPr="00A170BD">
        <w:rPr>
          <w:szCs w:val="21"/>
        </w:rPr>
        <w:t>ed</w:t>
      </w:r>
      <w:proofErr w:type="spellEnd"/>
      <w:r w:rsidRPr="00A170BD">
        <w:rPr>
          <w:szCs w:val="21"/>
        </w:rPr>
        <w:t xml:space="preserve"> supports needed occurs prior to job commencement. </w:t>
      </w:r>
      <w:proofErr w:type="spellStart"/>
      <w:r w:rsidRPr="00A170BD">
        <w:rPr>
          <w:szCs w:val="21"/>
        </w:rPr>
        <w:t>Customi</w:t>
      </w:r>
      <w:r w:rsidR="00483BBD" w:rsidRPr="00A170BD">
        <w:rPr>
          <w:szCs w:val="21"/>
        </w:rPr>
        <w:t>s</w:t>
      </w:r>
      <w:r w:rsidRPr="00A170BD">
        <w:rPr>
          <w:szCs w:val="21"/>
        </w:rPr>
        <w:t>ed</w:t>
      </w:r>
      <w:proofErr w:type="spellEnd"/>
      <w:r w:rsidRPr="00A170BD">
        <w:rPr>
          <w:szCs w:val="21"/>
        </w:rPr>
        <w:t xml:space="preserve"> supports and reasonable accommodations are provided in a </w:t>
      </w:r>
      <w:proofErr w:type="spellStart"/>
      <w:r w:rsidRPr="00A170BD">
        <w:rPr>
          <w:szCs w:val="21"/>
        </w:rPr>
        <w:t>non time</w:t>
      </w:r>
      <w:proofErr w:type="spellEnd"/>
      <w:r w:rsidRPr="00A170BD">
        <w:rPr>
          <w:szCs w:val="21"/>
        </w:rPr>
        <w:t>-limited way (Griffin-</w:t>
      </w:r>
      <w:proofErr w:type="spellStart"/>
      <w:r w:rsidRPr="00A170BD">
        <w:rPr>
          <w:szCs w:val="21"/>
        </w:rPr>
        <w:t>Hammis</w:t>
      </w:r>
      <w:proofErr w:type="spellEnd"/>
      <w:r w:rsidRPr="00A170BD">
        <w:rPr>
          <w:szCs w:val="21"/>
        </w:rPr>
        <w:t xml:space="preserve"> Associate</w:t>
      </w:r>
      <w:r w:rsidR="006255CD">
        <w:rPr>
          <w:szCs w:val="21"/>
        </w:rPr>
        <w:t>s</w:t>
      </w:r>
      <w:r w:rsidRPr="00A170BD">
        <w:rPr>
          <w:szCs w:val="21"/>
        </w:rPr>
        <w:t>, n.d.). These can include informal supports (for example support with transport and independent living skills) as well as formal supports such job coaching, or personal care supports (</w:t>
      </w:r>
      <w:r w:rsidRPr="00A170BD">
        <w:rPr>
          <w:rFonts w:cs="Arial"/>
          <w:szCs w:val="21"/>
        </w:rPr>
        <w:t>Smith, McVilly, McGillivray</w:t>
      </w:r>
      <w:r w:rsidR="00267497" w:rsidRPr="00A170BD">
        <w:rPr>
          <w:rFonts w:cs="Arial"/>
          <w:szCs w:val="21"/>
        </w:rPr>
        <w:t>, &amp; Chan,</w:t>
      </w:r>
      <w:r w:rsidRPr="00A170BD">
        <w:rPr>
          <w:rFonts w:cs="Arial"/>
          <w:szCs w:val="21"/>
        </w:rPr>
        <w:t xml:space="preserve"> </w:t>
      </w:r>
      <w:r w:rsidRPr="00A170BD">
        <w:rPr>
          <w:szCs w:val="21"/>
        </w:rPr>
        <w:t>2018; Brown, 2009).</w:t>
      </w:r>
    </w:p>
    <w:p w14:paraId="6CE836C7" w14:textId="77777777" w:rsidR="00411C6F" w:rsidRPr="00A170BD" w:rsidRDefault="00411C6F" w:rsidP="00A170BD">
      <w:pPr>
        <w:spacing w:line="276" w:lineRule="auto"/>
        <w:ind w:left="360"/>
        <w:rPr>
          <w:rFonts w:asciiTheme="minorHAnsi" w:hAnsiTheme="minorHAnsi" w:cstheme="minorHAnsi"/>
          <w:b/>
          <w:bCs/>
          <w:szCs w:val="21"/>
        </w:rPr>
      </w:pPr>
      <w:bookmarkStart w:id="120" w:name="_Toc49417946"/>
      <w:r w:rsidRPr="00A170BD">
        <w:rPr>
          <w:rStyle w:val="Heading3Char"/>
          <w:rFonts w:asciiTheme="minorHAnsi" w:hAnsiTheme="minorHAnsi" w:cstheme="minorHAnsi"/>
          <w:b w:val="0"/>
          <w:bCs/>
        </w:rPr>
        <w:t>Step 4: Provision of on-the-job training</w:t>
      </w:r>
      <w:bookmarkEnd w:id="120"/>
      <w:r w:rsidRPr="00A170BD">
        <w:rPr>
          <w:rFonts w:asciiTheme="minorHAnsi" w:hAnsiTheme="minorHAnsi" w:cstheme="minorHAnsi"/>
          <w:b/>
          <w:bCs/>
          <w:szCs w:val="21"/>
        </w:rPr>
        <w:t xml:space="preserve"> </w:t>
      </w:r>
    </w:p>
    <w:p w14:paraId="238A6F26" w14:textId="4B669BFC" w:rsidR="00411C6F" w:rsidRPr="00A170BD" w:rsidRDefault="00411C6F" w:rsidP="00A170BD">
      <w:pPr>
        <w:spacing w:line="276" w:lineRule="auto"/>
        <w:ind w:left="360"/>
        <w:rPr>
          <w:rFonts w:cs="Calibri"/>
          <w:szCs w:val="21"/>
        </w:rPr>
      </w:pPr>
      <w:proofErr w:type="spellStart"/>
      <w:r w:rsidRPr="00A170BD">
        <w:rPr>
          <w:szCs w:val="21"/>
        </w:rPr>
        <w:t>Customised</w:t>
      </w:r>
      <w:proofErr w:type="spellEnd"/>
      <w:r w:rsidRPr="00A170BD">
        <w:rPr>
          <w:szCs w:val="21"/>
        </w:rPr>
        <w:t xml:space="preserve"> supports also include on-the-job and formal training matched to the person’s needs (</w:t>
      </w:r>
      <w:proofErr w:type="spellStart"/>
      <w:r w:rsidRPr="00A170BD">
        <w:rPr>
          <w:szCs w:val="21"/>
        </w:rPr>
        <w:t>Wehman</w:t>
      </w:r>
      <w:proofErr w:type="spellEnd"/>
      <w:r w:rsidRPr="00A170BD">
        <w:rPr>
          <w:szCs w:val="21"/>
        </w:rPr>
        <w:t xml:space="preserve"> et al.</w:t>
      </w:r>
      <w:r w:rsidR="00630692" w:rsidRPr="00A170BD">
        <w:rPr>
          <w:szCs w:val="21"/>
        </w:rPr>
        <w:t>,</w:t>
      </w:r>
      <w:r w:rsidRPr="00A170BD">
        <w:rPr>
          <w:szCs w:val="21"/>
        </w:rPr>
        <w:t xml:space="preserve"> 2018).</w:t>
      </w:r>
    </w:p>
    <w:p w14:paraId="10D6CC37" w14:textId="77777777" w:rsidR="00411C6F" w:rsidRPr="00502399" w:rsidRDefault="00411C6F" w:rsidP="00CE427B">
      <w:pPr>
        <w:spacing w:line="276" w:lineRule="auto"/>
        <w:ind w:left="360"/>
        <w:rPr>
          <w:rFonts w:cs="Calibri"/>
        </w:rPr>
      </w:pPr>
    </w:p>
    <w:p w14:paraId="1B65116E" w14:textId="77777777" w:rsidR="00411C6F" w:rsidRPr="00593894" w:rsidRDefault="00411C6F" w:rsidP="00CE427B">
      <w:pPr>
        <w:pStyle w:val="Heading2"/>
      </w:pPr>
      <w:bookmarkStart w:id="121" w:name="_Toc49417947"/>
      <w:r w:rsidRPr="00593894">
        <w:t>Outcomes</w:t>
      </w:r>
      <w:bookmarkEnd w:id="121"/>
    </w:p>
    <w:p w14:paraId="0F5A6C53" w14:textId="00C7B30D" w:rsidR="00411C6F" w:rsidRPr="00771C53" w:rsidRDefault="00411C6F" w:rsidP="004C1040">
      <w:pPr>
        <w:pStyle w:val="Default"/>
        <w:spacing w:before="120" w:line="276" w:lineRule="auto"/>
        <w:rPr>
          <w:rFonts w:asciiTheme="minorHAnsi" w:hAnsiTheme="minorHAnsi" w:cstheme="minorHAnsi"/>
          <w:color w:val="auto"/>
          <w:sz w:val="21"/>
          <w:szCs w:val="21"/>
        </w:rPr>
      </w:pPr>
      <w:r w:rsidRPr="00771C53">
        <w:rPr>
          <w:rFonts w:asciiTheme="minorHAnsi" w:hAnsiTheme="minorHAnsi" w:cstheme="minorHAnsi"/>
          <w:color w:val="auto"/>
          <w:sz w:val="21"/>
          <w:szCs w:val="21"/>
        </w:rPr>
        <w:t xml:space="preserve">Highly </w:t>
      </w:r>
      <w:proofErr w:type="spellStart"/>
      <w:r w:rsidRPr="00771C53">
        <w:rPr>
          <w:rFonts w:asciiTheme="minorHAnsi" w:hAnsiTheme="minorHAnsi" w:cstheme="minorHAnsi"/>
          <w:color w:val="auto"/>
          <w:sz w:val="21"/>
          <w:szCs w:val="21"/>
        </w:rPr>
        <w:t>individualised</w:t>
      </w:r>
      <w:proofErr w:type="spellEnd"/>
      <w:r w:rsidRPr="00771C53">
        <w:rPr>
          <w:rFonts w:asciiTheme="minorHAnsi" w:hAnsiTheme="minorHAnsi" w:cstheme="minorHAnsi"/>
          <w:color w:val="auto"/>
          <w:sz w:val="21"/>
          <w:szCs w:val="21"/>
        </w:rPr>
        <w:t xml:space="preserve"> approaches, such as </w:t>
      </w:r>
      <w:proofErr w:type="spellStart"/>
      <w:r w:rsidRPr="00771C53">
        <w:rPr>
          <w:rFonts w:asciiTheme="minorHAnsi" w:hAnsiTheme="minorHAnsi" w:cstheme="minorHAnsi"/>
          <w:color w:val="auto"/>
          <w:sz w:val="21"/>
          <w:szCs w:val="21"/>
        </w:rPr>
        <w:t>customised</w:t>
      </w:r>
      <w:proofErr w:type="spellEnd"/>
      <w:r w:rsidRPr="00771C53">
        <w:rPr>
          <w:rFonts w:asciiTheme="minorHAnsi" w:hAnsiTheme="minorHAnsi" w:cstheme="minorHAnsi"/>
          <w:color w:val="auto"/>
          <w:sz w:val="21"/>
          <w:szCs w:val="21"/>
        </w:rPr>
        <w:t xml:space="preserve"> employment, are designed to address and overcome the barriers that people with disability experience and that are created by the way work is structured (Becker</w:t>
      </w:r>
      <w:r w:rsidR="002439FD">
        <w:rPr>
          <w:rFonts w:asciiTheme="minorHAnsi" w:hAnsiTheme="minorHAnsi" w:cstheme="minorHAnsi"/>
          <w:color w:val="auto"/>
          <w:sz w:val="21"/>
          <w:szCs w:val="21"/>
        </w:rPr>
        <w:t xml:space="preserve"> et al., 2011</w:t>
      </w:r>
      <w:r w:rsidRPr="00771C53">
        <w:rPr>
          <w:rFonts w:asciiTheme="minorHAnsi" w:hAnsiTheme="minorHAnsi" w:cstheme="minorHAnsi"/>
          <w:color w:val="auto"/>
          <w:sz w:val="21"/>
          <w:szCs w:val="21"/>
        </w:rPr>
        <w:t>; Bond</w:t>
      </w:r>
      <w:r w:rsidR="002620F5">
        <w:rPr>
          <w:rFonts w:asciiTheme="minorHAnsi" w:hAnsiTheme="minorHAnsi" w:cstheme="minorHAnsi"/>
          <w:color w:val="auto"/>
          <w:sz w:val="21"/>
          <w:szCs w:val="21"/>
        </w:rPr>
        <w:t xml:space="preserve"> et al.</w:t>
      </w:r>
      <w:r w:rsidRPr="00771C53">
        <w:rPr>
          <w:rFonts w:asciiTheme="minorHAnsi" w:hAnsiTheme="minorHAnsi" w:cstheme="minorHAnsi"/>
          <w:color w:val="auto"/>
          <w:sz w:val="21"/>
          <w:szCs w:val="21"/>
        </w:rPr>
        <w:t>, 2008; Condon &amp; Callahan, 2008; Inge</w:t>
      </w:r>
      <w:r w:rsidR="00334BA4">
        <w:rPr>
          <w:rFonts w:asciiTheme="minorHAnsi" w:hAnsiTheme="minorHAnsi" w:cstheme="minorHAnsi"/>
          <w:color w:val="auto"/>
          <w:sz w:val="21"/>
          <w:szCs w:val="21"/>
        </w:rPr>
        <w:t xml:space="preserve"> et al.,</w:t>
      </w:r>
      <w:r w:rsidRPr="00771C53">
        <w:rPr>
          <w:rFonts w:asciiTheme="minorHAnsi" w:hAnsiTheme="minorHAnsi" w:cstheme="minorHAnsi"/>
          <w:color w:val="auto"/>
          <w:sz w:val="21"/>
          <w:szCs w:val="21"/>
        </w:rPr>
        <w:t xml:space="preserve"> 2018; </w:t>
      </w:r>
      <w:proofErr w:type="spellStart"/>
      <w:r w:rsidRPr="00771C53">
        <w:rPr>
          <w:rFonts w:asciiTheme="minorHAnsi" w:hAnsiTheme="minorHAnsi" w:cstheme="minorHAnsi"/>
          <w:color w:val="auto"/>
          <w:sz w:val="21"/>
          <w:szCs w:val="21"/>
        </w:rPr>
        <w:t>Riesen</w:t>
      </w:r>
      <w:proofErr w:type="spellEnd"/>
      <w:r w:rsidR="00E13BEC">
        <w:rPr>
          <w:rFonts w:asciiTheme="minorHAnsi" w:hAnsiTheme="minorHAnsi" w:cstheme="minorHAnsi"/>
          <w:color w:val="auto"/>
          <w:sz w:val="21"/>
          <w:szCs w:val="21"/>
        </w:rPr>
        <w:t xml:space="preserve"> et al.</w:t>
      </w:r>
      <w:r w:rsidRPr="00771C53">
        <w:rPr>
          <w:rFonts w:asciiTheme="minorHAnsi" w:hAnsiTheme="minorHAnsi" w:cstheme="minorHAnsi"/>
          <w:color w:val="auto"/>
          <w:sz w:val="21"/>
          <w:szCs w:val="21"/>
        </w:rPr>
        <w:t>, 2015; Smith</w:t>
      </w:r>
      <w:r w:rsidR="00165655">
        <w:rPr>
          <w:rFonts w:asciiTheme="minorHAnsi" w:hAnsiTheme="minorHAnsi" w:cstheme="minorHAnsi"/>
          <w:color w:val="auto"/>
          <w:sz w:val="21"/>
          <w:szCs w:val="21"/>
        </w:rPr>
        <w:t xml:space="preserve"> et al., </w:t>
      </w:r>
      <w:r w:rsidRPr="00771C53">
        <w:rPr>
          <w:rFonts w:asciiTheme="minorHAnsi" w:hAnsiTheme="minorHAnsi" w:cstheme="minorHAnsi"/>
          <w:color w:val="auto"/>
          <w:sz w:val="21"/>
          <w:szCs w:val="21"/>
        </w:rPr>
        <w:t xml:space="preserve">2017; </w:t>
      </w:r>
      <w:proofErr w:type="spellStart"/>
      <w:r w:rsidR="00D915AB">
        <w:rPr>
          <w:rFonts w:asciiTheme="minorHAnsi" w:hAnsiTheme="minorHAnsi" w:cstheme="minorHAnsi"/>
          <w:color w:val="auto"/>
          <w:sz w:val="21"/>
          <w:szCs w:val="21"/>
        </w:rPr>
        <w:t>Szoc</w:t>
      </w:r>
      <w:proofErr w:type="spellEnd"/>
      <w:r w:rsidR="00D915AB">
        <w:rPr>
          <w:rFonts w:asciiTheme="minorHAnsi" w:hAnsiTheme="minorHAnsi" w:cstheme="minorHAnsi"/>
          <w:color w:val="auto"/>
          <w:sz w:val="21"/>
          <w:szCs w:val="21"/>
        </w:rPr>
        <w:t xml:space="preserve"> &amp; Harvey, 2009</w:t>
      </w:r>
      <w:r w:rsidRPr="00771C53">
        <w:rPr>
          <w:rFonts w:asciiTheme="minorHAnsi" w:hAnsiTheme="minorHAnsi" w:cstheme="minorHAnsi"/>
          <w:color w:val="auto"/>
          <w:sz w:val="21"/>
          <w:szCs w:val="21"/>
        </w:rPr>
        <w:t>). It is argued that:</w:t>
      </w:r>
    </w:p>
    <w:p w14:paraId="088DC31F" w14:textId="106FB0CB" w:rsidR="00CA4AFC" w:rsidRPr="00771C53" w:rsidRDefault="00411C6F" w:rsidP="004C1040">
      <w:pPr>
        <w:spacing w:line="276" w:lineRule="auto"/>
        <w:ind w:left="357" w:right="357"/>
        <w:rPr>
          <w:rFonts w:asciiTheme="minorHAnsi" w:hAnsiTheme="minorHAnsi" w:cstheme="minorHAnsi"/>
          <w:szCs w:val="21"/>
        </w:rPr>
      </w:pPr>
      <w:r w:rsidRPr="00771C53">
        <w:rPr>
          <w:rFonts w:asciiTheme="minorHAnsi" w:hAnsiTheme="minorHAnsi" w:cstheme="minorHAnsi"/>
          <w:szCs w:val="21"/>
        </w:rPr>
        <w:t>Customized employment has the potential for minimizing competition with other job seekers without disabilities, since the outcome is a negotiated job description for a specific job seeker with a disability (Inge et al.</w:t>
      </w:r>
      <w:r w:rsidR="00334BA4">
        <w:rPr>
          <w:rFonts w:asciiTheme="minorHAnsi" w:hAnsiTheme="minorHAnsi" w:cstheme="minorHAnsi"/>
          <w:szCs w:val="21"/>
        </w:rPr>
        <w:t>,</w:t>
      </w:r>
      <w:r w:rsidRPr="00771C53">
        <w:rPr>
          <w:rFonts w:asciiTheme="minorHAnsi" w:hAnsiTheme="minorHAnsi" w:cstheme="minorHAnsi"/>
          <w:szCs w:val="21"/>
        </w:rPr>
        <w:t xml:space="preserve"> 2018, p.</w:t>
      </w:r>
      <w:r w:rsidR="00334BA4">
        <w:rPr>
          <w:rFonts w:asciiTheme="minorHAnsi" w:hAnsiTheme="minorHAnsi" w:cstheme="minorHAnsi"/>
          <w:szCs w:val="21"/>
        </w:rPr>
        <w:t xml:space="preserve"> </w:t>
      </w:r>
      <w:r w:rsidRPr="00771C53">
        <w:rPr>
          <w:rFonts w:asciiTheme="minorHAnsi" w:hAnsiTheme="minorHAnsi" w:cstheme="minorHAnsi"/>
          <w:szCs w:val="21"/>
        </w:rPr>
        <w:t>165)</w:t>
      </w:r>
      <w:r w:rsidR="0011617C">
        <w:rPr>
          <w:rFonts w:asciiTheme="minorHAnsi" w:hAnsiTheme="minorHAnsi" w:cstheme="minorHAnsi"/>
          <w:szCs w:val="21"/>
        </w:rPr>
        <w:t>.</w:t>
      </w:r>
    </w:p>
    <w:p w14:paraId="13E581A3" w14:textId="5FEAF590" w:rsidR="00411C6F" w:rsidRPr="00771C53" w:rsidRDefault="00411C6F" w:rsidP="004C1040">
      <w:pPr>
        <w:pStyle w:val="Default"/>
        <w:spacing w:before="120" w:line="276" w:lineRule="auto"/>
        <w:rPr>
          <w:rFonts w:asciiTheme="minorHAnsi" w:hAnsiTheme="minorHAnsi" w:cstheme="minorHAnsi"/>
          <w:color w:val="auto"/>
          <w:sz w:val="21"/>
          <w:szCs w:val="21"/>
        </w:rPr>
      </w:pPr>
      <w:r w:rsidRPr="00771C53">
        <w:rPr>
          <w:rFonts w:asciiTheme="minorHAnsi" w:hAnsiTheme="minorHAnsi" w:cstheme="minorHAnsi"/>
          <w:color w:val="auto"/>
          <w:sz w:val="21"/>
          <w:szCs w:val="21"/>
        </w:rPr>
        <w:t xml:space="preserve">There is an emerging evidence base showing that </w:t>
      </w:r>
      <w:proofErr w:type="spellStart"/>
      <w:r w:rsidRPr="00771C53">
        <w:rPr>
          <w:rFonts w:asciiTheme="minorHAnsi" w:hAnsiTheme="minorHAnsi" w:cstheme="minorHAnsi"/>
          <w:color w:val="auto"/>
          <w:sz w:val="21"/>
          <w:szCs w:val="21"/>
        </w:rPr>
        <w:t>customi</w:t>
      </w:r>
      <w:r w:rsidR="00483BBD">
        <w:rPr>
          <w:rFonts w:asciiTheme="minorHAnsi" w:hAnsiTheme="minorHAnsi" w:cstheme="minorHAnsi"/>
          <w:color w:val="auto"/>
          <w:sz w:val="21"/>
          <w:szCs w:val="21"/>
        </w:rPr>
        <w:t>s</w:t>
      </w:r>
      <w:r w:rsidRPr="00771C53">
        <w:rPr>
          <w:rFonts w:asciiTheme="minorHAnsi" w:hAnsiTheme="minorHAnsi" w:cstheme="minorHAnsi"/>
          <w:color w:val="auto"/>
          <w:sz w:val="21"/>
          <w:szCs w:val="21"/>
        </w:rPr>
        <w:t>ed</w:t>
      </w:r>
      <w:proofErr w:type="spellEnd"/>
      <w:r w:rsidRPr="00771C53">
        <w:rPr>
          <w:rFonts w:asciiTheme="minorHAnsi" w:hAnsiTheme="minorHAnsi" w:cstheme="minorHAnsi"/>
          <w:color w:val="auto"/>
          <w:sz w:val="21"/>
          <w:szCs w:val="21"/>
        </w:rPr>
        <w:t xml:space="preserve"> employment is successful (</w:t>
      </w:r>
      <w:proofErr w:type="spellStart"/>
      <w:r w:rsidRPr="00771C53">
        <w:rPr>
          <w:rFonts w:asciiTheme="minorHAnsi" w:hAnsiTheme="minorHAnsi" w:cstheme="minorHAnsi"/>
          <w:color w:val="auto"/>
          <w:sz w:val="21"/>
          <w:szCs w:val="21"/>
        </w:rPr>
        <w:t>Wehman</w:t>
      </w:r>
      <w:proofErr w:type="spellEnd"/>
      <w:r w:rsidRPr="00771C53">
        <w:rPr>
          <w:rFonts w:asciiTheme="minorHAnsi" w:hAnsiTheme="minorHAnsi" w:cstheme="minorHAnsi"/>
          <w:color w:val="auto"/>
          <w:sz w:val="21"/>
          <w:szCs w:val="21"/>
        </w:rPr>
        <w:t xml:space="preserve"> et al.</w:t>
      </w:r>
      <w:r w:rsidR="00630692">
        <w:rPr>
          <w:rFonts w:asciiTheme="minorHAnsi" w:hAnsiTheme="minorHAnsi" w:cstheme="minorHAnsi"/>
          <w:color w:val="auto"/>
          <w:sz w:val="21"/>
          <w:szCs w:val="21"/>
        </w:rPr>
        <w:t>,</w:t>
      </w:r>
      <w:r w:rsidRPr="00771C53">
        <w:rPr>
          <w:rFonts w:asciiTheme="minorHAnsi" w:hAnsiTheme="minorHAnsi" w:cstheme="minorHAnsi"/>
          <w:color w:val="auto"/>
          <w:sz w:val="21"/>
          <w:szCs w:val="21"/>
        </w:rPr>
        <w:t xml:space="preserve"> 2018). A review of evidence by </w:t>
      </w:r>
      <w:proofErr w:type="spellStart"/>
      <w:r w:rsidRPr="00771C53">
        <w:rPr>
          <w:rFonts w:asciiTheme="minorHAnsi" w:hAnsiTheme="minorHAnsi" w:cstheme="minorHAnsi"/>
          <w:color w:val="auto"/>
          <w:sz w:val="21"/>
          <w:szCs w:val="21"/>
        </w:rPr>
        <w:t>Riesen</w:t>
      </w:r>
      <w:proofErr w:type="spellEnd"/>
      <w:r w:rsidRPr="00771C53">
        <w:rPr>
          <w:rFonts w:asciiTheme="minorHAnsi" w:hAnsiTheme="minorHAnsi" w:cstheme="minorHAnsi"/>
          <w:color w:val="auto"/>
          <w:sz w:val="21"/>
          <w:szCs w:val="21"/>
        </w:rPr>
        <w:t xml:space="preserve"> et al. (2015) identifies a range of projects that have used </w:t>
      </w:r>
      <w:proofErr w:type="spellStart"/>
      <w:r w:rsidRPr="00771C53">
        <w:rPr>
          <w:rFonts w:asciiTheme="minorHAnsi" w:hAnsiTheme="minorHAnsi" w:cstheme="minorHAnsi"/>
          <w:color w:val="auto"/>
          <w:sz w:val="21"/>
          <w:szCs w:val="21"/>
        </w:rPr>
        <w:t>customised</w:t>
      </w:r>
      <w:proofErr w:type="spellEnd"/>
      <w:r w:rsidRPr="00771C53">
        <w:rPr>
          <w:rFonts w:asciiTheme="minorHAnsi" w:hAnsiTheme="minorHAnsi" w:cstheme="minorHAnsi"/>
          <w:color w:val="auto"/>
          <w:sz w:val="21"/>
          <w:szCs w:val="21"/>
        </w:rPr>
        <w:t xml:space="preserve"> employment for significant numbers of people with intellectual disability to obtain (or create) employment in the open </w:t>
      </w:r>
      <w:proofErr w:type="spellStart"/>
      <w:r w:rsidRPr="00771C53">
        <w:rPr>
          <w:rFonts w:asciiTheme="minorHAnsi" w:hAnsiTheme="minorHAnsi" w:cstheme="minorHAnsi"/>
          <w:color w:val="auto"/>
          <w:sz w:val="21"/>
          <w:szCs w:val="21"/>
        </w:rPr>
        <w:t>labour</w:t>
      </w:r>
      <w:proofErr w:type="spellEnd"/>
      <w:r w:rsidRPr="00771C53">
        <w:rPr>
          <w:rFonts w:asciiTheme="minorHAnsi" w:hAnsiTheme="minorHAnsi" w:cstheme="minorHAnsi"/>
          <w:color w:val="auto"/>
          <w:sz w:val="21"/>
          <w:szCs w:val="21"/>
        </w:rPr>
        <w:t xml:space="preserve"> market, including through </w:t>
      </w:r>
      <w:proofErr w:type="spellStart"/>
      <w:r w:rsidRPr="00771C53">
        <w:rPr>
          <w:rFonts w:asciiTheme="minorHAnsi" w:hAnsiTheme="minorHAnsi" w:cstheme="minorHAnsi"/>
          <w:color w:val="auto"/>
          <w:sz w:val="21"/>
          <w:szCs w:val="21"/>
        </w:rPr>
        <w:t>self employment</w:t>
      </w:r>
      <w:proofErr w:type="spellEnd"/>
      <w:r w:rsidRPr="00771C53">
        <w:rPr>
          <w:rFonts w:asciiTheme="minorHAnsi" w:hAnsiTheme="minorHAnsi" w:cstheme="minorHAnsi"/>
          <w:color w:val="auto"/>
          <w:sz w:val="21"/>
          <w:szCs w:val="21"/>
        </w:rPr>
        <w:t xml:space="preserve">. Inge et al. (2018) report that different projects have achieved between a 45-71% employment rate in open employment with high levels of job retention after 1 year. A study of young people with Autism Spectrum Disorder and intellectual disability in the US found that </w:t>
      </w:r>
      <w:proofErr w:type="spellStart"/>
      <w:r w:rsidRPr="00771C53">
        <w:rPr>
          <w:rFonts w:asciiTheme="minorHAnsi" w:hAnsiTheme="minorHAnsi" w:cstheme="minorHAnsi"/>
          <w:color w:val="auto"/>
          <w:sz w:val="21"/>
          <w:szCs w:val="21"/>
        </w:rPr>
        <w:t>customi</w:t>
      </w:r>
      <w:r w:rsidR="00483BBD">
        <w:rPr>
          <w:rFonts w:asciiTheme="minorHAnsi" w:hAnsiTheme="minorHAnsi" w:cstheme="minorHAnsi"/>
          <w:color w:val="auto"/>
          <w:sz w:val="21"/>
          <w:szCs w:val="21"/>
        </w:rPr>
        <w:t>s</w:t>
      </w:r>
      <w:r w:rsidRPr="00771C53">
        <w:rPr>
          <w:rFonts w:asciiTheme="minorHAnsi" w:hAnsiTheme="minorHAnsi" w:cstheme="minorHAnsi"/>
          <w:color w:val="auto"/>
          <w:sz w:val="21"/>
          <w:szCs w:val="21"/>
        </w:rPr>
        <w:t>ed</w:t>
      </w:r>
      <w:proofErr w:type="spellEnd"/>
      <w:r w:rsidRPr="00771C53">
        <w:rPr>
          <w:rFonts w:asciiTheme="minorHAnsi" w:hAnsiTheme="minorHAnsi" w:cstheme="minorHAnsi"/>
          <w:color w:val="auto"/>
          <w:sz w:val="21"/>
          <w:szCs w:val="21"/>
        </w:rPr>
        <w:t xml:space="preserve"> employment was similarly successful with this group. Importantly, researchers noted that of the jobs gained, </w:t>
      </w:r>
      <w:r w:rsidRPr="00771C53">
        <w:rPr>
          <w:rFonts w:asciiTheme="minorHAnsi" w:hAnsiTheme="minorHAnsi" w:cstheme="minorHAnsi"/>
          <w:sz w:val="21"/>
          <w:szCs w:val="21"/>
        </w:rPr>
        <w:t xml:space="preserve">the large majority required significant </w:t>
      </w:r>
      <w:proofErr w:type="spellStart"/>
      <w:r w:rsidRPr="00771C53">
        <w:rPr>
          <w:rFonts w:asciiTheme="minorHAnsi" w:hAnsiTheme="minorHAnsi" w:cstheme="minorHAnsi"/>
          <w:sz w:val="21"/>
          <w:szCs w:val="21"/>
        </w:rPr>
        <w:t>customi</w:t>
      </w:r>
      <w:r w:rsidR="00131ED2">
        <w:rPr>
          <w:rFonts w:asciiTheme="minorHAnsi" w:hAnsiTheme="minorHAnsi" w:cstheme="minorHAnsi"/>
          <w:sz w:val="21"/>
          <w:szCs w:val="21"/>
        </w:rPr>
        <w:t>s</w:t>
      </w:r>
      <w:r w:rsidRPr="00771C53">
        <w:rPr>
          <w:rFonts w:asciiTheme="minorHAnsi" w:hAnsiTheme="minorHAnsi" w:cstheme="minorHAnsi"/>
          <w:sz w:val="21"/>
          <w:szCs w:val="21"/>
        </w:rPr>
        <w:t>ation</w:t>
      </w:r>
      <w:proofErr w:type="spellEnd"/>
      <w:r w:rsidRPr="00771C53">
        <w:rPr>
          <w:rFonts w:asciiTheme="minorHAnsi" w:hAnsiTheme="minorHAnsi" w:cstheme="minorHAnsi"/>
          <w:sz w:val="21"/>
          <w:szCs w:val="21"/>
        </w:rPr>
        <w:t xml:space="preserve"> to create job descriptions, reassign tasks and provide modifications (</w:t>
      </w:r>
      <w:proofErr w:type="spellStart"/>
      <w:r w:rsidR="001052BD" w:rsidRPr="00771C53">
        <w:rPr>
          <w:rFonts w:asciiTheme="minorHAnsi" w:hAnsiTheme="minorHAnsi" w:cstheme="minorHAnsi"/>
          <w:sz w:val="21"/>
          <w:szCs w:val="21"/>
        </w:rPr>
        <w:t>Wehman</w:t>
      </w:r>
      <w:proofErr w:type="spellEnd"/>
      <w:r w:rsidR="001052BD" w:rsidRPr="00771C53">
        <w:rPr>
          <w:rFonts w:asciiTheme="minorHAnsi" w:hAnsiTheme="minorHAnsi" w:cstheme="minorHAnsi"/>
          <w:sz w:val="21"/>
          <w:szCs w:val="21"/>
        </w:rPr>
        <w:t xml:space="preserve"> et al.</w:t>
      </w:r>
      <w:r w:rsidR="001052BD">
        <w:rPr>
          <w:rFonts w:asciiTheme="minorHAnsi" w:hAnsiTheme="minorHAnsi" w:cstheme="minorHAnsi"/>
          <w:sz w:val="21"/>
          <w:szCs w:val="21"/>
        </w:rPr>
        <w:t>, 2016,</w:t>
      </w:r>
      <w:r w:rsidR="001052BD" w:rsidRPr="00771C53">
        <w:rPr>
          <w:rFonts w:asciiTheme="minorHAnsi" w:hAnsiTheme="minorHAnsi" w:cstheme="minorHAnsi"/>
          <w:sz w:val="21"/>
          <w:szCs w:val="21"/>
        </w:rPr>
        <w:t xml:space="preserve"> </w:t>
      </w:r>
      <w:r w:rsidR="001052BD">
        <w:rPr>
          <w:rFonts w:asciiTheme="minorHAnsi" w:hAnsiTheme="minorHAnsi" w:cstheme="minorHAnsi"/>
          <w:sz w:val="21"/>
          <w:szCs w:val="21"/>
        </w:rPr>
        <w:t xml:space="preserve">cited in </w:t>
      </w:r>
      <w:r w:rsidRPr="00771C53">
        <w:rPr>
          <w:rFonts w:asciiTheme="minorHAnsi" w:hAnsiTheme="minorHAnsi" w:cstheme="minorHAnsi"/>
          <w:sz w:val="21"/>
          <w:szCs w:val="21"/>
        </w:rPr>
        <w:t>Inge et al.</w:t>
      </w:r>
      <w:r w:rsidR="00630692">
        <w:rPr>
          <w:rFonts w:asciiTheme="minorHAnsi" w:hAnsiTheme="minorHAnsi" w:cstheme="minorHAnsi"/>
          <w:sz w:val="21"/>
          <w:szCs w:val="21"/>
        </w:rPr>
        <w:t>,</w:t>
      </w:r>
      <w:r w:rsidRPr="00771C53">
        <w:rPr>
          <w:rFonts w:asciiTheme="minorHAnsi" w:hAnsiTheme="minorHAnsi" w:cstheme="minorHAnsi"/>
          <w:sz w:val="21"/>
          <w:szCs w:val="21"/>
        </w:rPr>
        <w:t xml:space="preserve"> 2018). </w:t>
      </w:r>
      <w:r w:rsidRPr="00771C53">
        <w:rPr>
          <w:rFonts w:asciiTheme="minorHAnsi" w:hAnsiTheme="minorHAnsi" w:cstheme="minorHAnsi"/>
          <w:color w:val="auto"/>
          <w:sz w:val="21"/>
          <w:szCs w:val="21"/>
        </w:rPr>
        <w:t xml:space="preserve">Research in the US has verified that </w:t>
      </w:r>
      <w:proofErr w:type="spellStart"/>
      <w:r w:rsidRPr="00771C53">
        <w:rPr>
          <w:rFonts w:asciiTheme="minorHAnsi" w:hAnsiTheme="minorHAnsi" w:cstheme="minorHAnsi"/>
          <w:color w:val="auto"/>
          <w:sz w:val="21"/>
          <w:szCs w:val="21"/>
        </w:rPr>
        <w:t>customi</w:t>
      </w:r>
      <w:r w:rsidR="00131ED2">
        <w:rPr>
          <w:rFonts w:asciiTheme="minorHAnsi" w:hAnsiTheme="minorHAnsi" w:cstheme="minorHAnsi"/>
          <w:color w:val="auto"/>
          <w:sz w:val="21"/>
          <w:szCs w:val="21"/>
        </w:rPr>
        <w:t>s</w:t>
      </w:r>
      <w:r w:rsidRPr="00771C53">
        <w:rPr>
          <w:rFonts w:asciiTheme="minorHAnsi" w:hAnsiTheme="minorHAnsi" w:cstheme="minorHAnsi"/>
          <w:color w:val="auto"/>
          <w:sz w:val="21"/>
          <w:szCs w:val="21"/>
        </w:rPr>
        <w:t>ed</w:t>
      </w:r>
      <w:proofErr w:type="spellEnd"/>
      <w:r w:rsidRPr="00771C53">
        <w:rPr>
          <w:rFonts w:asciiTheme="minorHAnsi" w:hAnsiTheme="minorHAnsi" w:cstheme="minorHAnsi"/>
          <w:color w:val="auto"/>
          <w:sz w:val="21"/>
          <w:szCs w:val="21"/>
        </w:rPr>
        <w:t xml:space="preserve"> employment has also been shown to:</w:t>
      </w:r>
    </w:p>
    <w:p w14:paraId="66AAF4C6" w14:textId="3D698397" w:rsidR="00411C6F" w:rsidRPr="00771C53" w:rsidRDefault="00411C6F" w:rsidP="004C1040">
      <w:pPr>
        <w:pStyle w:val="Default"/>
        <w:numPr>
          <w:ilvl w:val="0"/>
          <w:numId w:val="47"/>
        </w:numPr>
        <w:spacing w:before="120" w:line="276" w:lineRule="auto"/>
        <w:rPr>
          <w:rFonts w:asciiTheme="minorHAnsi" w:hAnsiTheme="minorHAnsi" w:cstheme="minorHAnsi"/>
          <w:color w:val="auto"/>
          <w:sz w:val="21"/>
          <w:szCs w:val="21"/>
        </w:rPr>
      </w:pPr>
      <w:r w:rsidRPr="00771C53">
        <w:rPr>
          <w:rFonts w:asciiTheme="minorHAnsi" w:hAnsiTheme="minorHAnsi" w:cstheme="minorHAnsi"/>
          <w:color w:val="auto"/>
          <w:sz w:val="21"/>
          <w:szCs w:val="21"/>
        </w:rPr>
        <w:t>increase quality of life outcomes (</w:t>
      </w:r>
      <w:proofErr w:type="spellStart"/>
      <w:r w:rsidRPr="00771C53">
        <w:rPr>
          <w:rFonts w:asciiTheme="minorHAnsi" w:hAnsiTheme="minorHAnsi" w:cstheme="minorHAnsi"/>
          <w:color w:val="auto"/>
          <w:sz w:val="21"/>
          <w:szCs w:val="21"/>
        </w:rPr>
        <w:t>Riesen</w:t>
      </w:r>
      <w:proofErr w:type="spellEnd"/>
      <w:r w:rsidRPr="00771C53">
        <w:rPr>
          <w:rFonts w:asciiTheme="minorHAnsi" w:hAnsiTheme="minorHAnsi" w:cstheme="minorHAnsi"/>
          <w:color w:val="auto"/>
          <w:sz w:val="21"/>
          <w:szCs w:val="21"/>
        </w:rPr>
        <w:t xml:space="preserve"> et a</w:t>
      </w:r>
      <w:r w:rsidR="00E13BEC">
        <w:rPr>
          <w:rFonts w:asciiTheme="minorHAnsi" w:hAnsiTheme="minorHAnsi" w:cstheme="minorHAnsi"/>
          <w:color w:val="auto"/>
          <w:sz w:val="21"/>
          <w:szCs w:val="21"/>
        </w:rPr>
        <w:t>l.,</w:t>
      </w:r>
      <w:r w:rsidRPr="00771C53">
        <w:rPr>
          <w:rFonts w:asciiTheme="minorHAnsi" w:hAnsiTheme="minorHAnsi" w:cstheme="minorHAnsi"/>
          <w:color w:val="auto"/>
          <w:sz w:val="21"/>
          <w:szCs w:val="21"/>
        </w:rPr>
        <w:t xml:space="preserve"> 2015)</w:t>
      </w:r>
    </w:p>
    <w:p w14:paraId="477D305D" w14:textId="5A3C890E" w:rsidR="00411C6F" w:rsidRPr="00771C53" w:rsidRDefault="00411C6F" w:rsidP="004C1040">
      <w:pPr>
        <w:pStyle w:val="Default"/>
        <w:numPr>
          <w:ilvl w:val="0"/>
          <w:numId w:val="47"/>
        </w:numPr>
        <w:spacing w:before="120" w:line="276" w:lineRule="auto"/>
        <w:ind w:left="763"/>
        <w:rPr>
          <w:rFonts w:asciiTheme="minorHAnsi" w:hAnsiTheme="minorHAnsi" w:cstheme="minorHAnsi"/>
          <w:color w:val="auto"/>
          <w:sz w:val="21"/>
          <w:szCs w:val="21"/>
        </w:rPr>
      </w:pPr>
      <w:r w:rsidRPr="00771C53">
        <w:rPr>
          <w:rFonts w:asciiTheme="minorHAnsi" w:hAnsiTheme="minorHAnsi" w:cstheme="minorHAnsi"/>
          <w:color w:val="auto"/>
          <w:sz w:val="21"/>
          <w:szCs w:val="21"/>
        </w:rPr>
        <w:t>deliver wage increases (</w:t>
      </w:r>
      <w:proofErr w:type="spellStart"/>
      <w:r w:rsidRPr="00771C53">
        <w:rPr>
          <w:rFonts w:asciiTheme="minorHAnsi" w:hAnsiTheme="minorHAnsi" w:cstheme="minorHAnsi"/>
          <w:color w:val="auto"/>
          <w:sz w:val="21"/>
          <w:szCs w:val="21"/>
        </w:rPr>
        <w:t>Riesen</w:t>
      </w:r>
      <w:proofErr w:type="spellEnd"/>
      <w:r w:rsidRPr="00771C53">
        <w:rPr>
          <w:rFonts w:asciiTheme="minorHAnsi" w:hAnsiTheme="minorHAnsi" w:cstheme="minorHAnsi"/>
          <w:color w:val="auto"/>
          <w:sz w:val="21"/>
          <w:szCs w:val="21"/>
        </w:rPr>
        <w:t xml:space="preserve"> et a</w:t>
      </w:r>
      <w:r w:rsidR="00E13BEC">
        <w:rPr>
          <w:rFonts w:asciiTheme="minorHAnsi" w:hAnsiTheme="minorHAnsi" w:cstheme="minorHAnsi"/>
          <w:color w:val="auto"/>
          <w:sz w:val="21"/>
          <w:szCs w:val="21"/>
        </w:rPr>
        <w:t>l</w:t>
      </w:r>
      <w:r w:rsidRPr="00771C53">
        <w:rPr>
          <w:rFonts w:asciiTheme="minorHAnsi" w:hAnsiTheme="minorHAnsi" w:cstheme="minorHAnsi"/>
          <w:color w:val="auto"/>
          <w:sz w:val="21"/>
          <w:szCs w:val="21"/>
        </w:rPr>
        <w:t>.</w:t>
      </w:r>
      <w:r w:rsidR="00E13BEC">
        <w:rPr>
          <w:rFonts w:asciiTheme="minorHAnsi" w:hAnsiTheme="minorHAnsi" w:cstheme="minorHAnsi"/>
          <w:color w:val="auto"/>
          <w:sz w:val="21"/>
          <w:szCs w:val="21"/>
        </w:rPr>
        <w:t>,</w:t>
      </w:r>
      <w:r w:rsidRPr="00771C53">
        <w:rPr>
          <w:rFonts w:asciiTheme="minorHAnsi" w:hAnsiTheme="minorHAnsi" w:cstheme="minorHAnsi"/>
          <w:color w:val="auto"/>
          <w:sz w:val="21"/>
          <w:szCs w:val="21"/>
        </w:rPr>
        <w:t xml:space="preserve"> 2015).</w:t>
      </w:r>
    </w:p>
    <w:p w14:paraId="2382C6E6" w14:textId="2303F66C" w:rsidR="00411C6F" w:rsidRPr="00C7608D" w:rsidRDefault="00411C6F" w:rsidP="004C1040">
      <w:pPr>
        <w:spacing w:line="276" w:lineRule="auto"/>
        <w:rPr>
          <w:rFonts w:cs="Times-Roman"/>
        </w:rPr>
      </w:pPr>
      <w:r w:rsidRPr="00771C53">
        <w:rPr>
          <w:rFonts w:asciiTheme="minorHAnsi" w:hAnsiTheme="minorHAnsi" w:cstheme="minorHAnsi"/>
          <w:szCs w:val="21"/>
        </w:rPr>
        <w:t xml:space="preserve">The </w:t>
      </w:r>
      <w:proofErr w:type="spellStart"/>
      <w:r w:rsidRPr="00771C53">
        <w:rPr>
          <w:rFonts w:asciiTheme="minorHAnsi" w:hAnsiTheme="minorHAnsi" w:cstheme="minorHAnsi"/>
          <w:szCs w:val="21"/>
        </w:rPr>
        <w:t>individualised</w:t>
      </w:r>
      <w:proofErr w:type="spellEnd"/>
      <w:r w:rsidRPr="00771C53">
        <w:rPr>
          <w:rFonts w:asciiTheme="minorHAnsi" w:hAnsiTheme="minorHAnsi" w:cstheme="minorHAnsi"/>
          <w:szCs w:val="21"/>
        </w:rPr>
        <w:t xml:space="preserve"> and </w:t>
      </w:r>
      <w:proofErr w:type="spellStart"/>
      <w:r w:rsidRPr="00771C53">
        <w:rPr>
          <w:rFonts w:asciiTheme="minorHAnsi" w:hAnsiTheme="minorHAnsi" w:cstheme="minorHAnsi"/>
          <w:szCs w:val="21"/>
        </w:rPr>
        <w:t>customi</w:t>
      </w:r>
      <w:r w:rsidR="00131ED2">
        <w:rPr>
          <w:rFonts w:asciiTheme="minorHAnsi" w:hAnsiTheme="minorHAnsi" w:cstheme="minorHAnsi"/>
          <w:szCs w:val="21"/>
        </w:rPr>
        <w:t>s</w:t>
      </w:r>
      <w:r w:rsidRPr="00771C53">
        <w:rPr>
          <w:rFonts w:asciiTheme="minorHAnsi" w:hAnsiTheme="minorHAnsi" w:cstheme="minorHAnsi"/>
          <w:szCs w:val="21"/>
        </w:rPr>
        <w:t>ed</w:t>
      </w:r>
      <w:proofErr w:type="spellEnd"/>
      <w:r w:rsidRPr="00771C53">
        <w:rPr>
          <w:rFonts w:asciiTheme="minorHAnsi" w:hAnsiTheme="minorHAnsi" w:cstheme="minorHAnsi"/>
          <w:szCs w:val="21"/>
        </w:rPr>
        <w:t xml:space="preserve"> approach has been noted to </w:t>
      </w:r>
      <w:r w:rsidR="004C1040">
        <w:rPr>
          <w:rFonts w:asciiTheme="minorHAnsi" w:hAnsiTheme="minorHAnsi" w:cstheme="minorHAnsi"/>
          <w:szCs w:val="21"/>
        </w:rPr>
        <w:t>“</w:t>
      </w:r>
      <w:r w:rsidRPr="00771C53">
        <w:rPr>
          <w:rFonts w:asciiTheme="minorHAnsi" w:hAnsiTheme="minorHAnsi" w:cstheme="minorHAnsi"/>
          <w:szCs w:val="21"/>
        </w:rPr>
        <w:t xml:space="preserve">have been successfully implemented with many …youth and adults who had been labeled </w:t>
      </w:r>
      <w:r w:rsidR="004C1040">
        <w:rPr>
          <w:rFonts w:asciiTheme="minorHAnsi" w:hAnsiTheme="minorHAnsi" w:cstheme="minorHAnsi"/>
          <w:szCs w:val="21"/>
        </w:rPr>
        <w:t>‘</w:t>
      </w:r>
      <w:r w:rsidRPr="00771C53">
        <w:rPr>
          <w:rFonts w:asciiTheme="minorHAnsi" w:hAnsiTheme="minorHAnsi" w:cstheme="minorHAnsi"/>
          <w:szCs w:val="21"/>
        </w:rPr>
        <w:t>too disabled to work</w:t>
      </w:r>
      <w:r w:rsidR="004C1040">
        <w:rPr>
          <w:rFonts w:asciiTheme="minorHAnsi" w:hAnsiTheme="minorHAnsi" w:cstheme="minorHAnsi"/>
          <w:szCs w:val="21"/>
        </w:rPr>
        <w:t>’”</w:t>
      </w:r>
      <w:r w:rsidRPr="00771C53">
        <w:rPr>
          <w:rFonts w:asciiTheme="minorHAnsi" w:hAnsiTheme="minorHAnsi" w:cstheme="minorHAnsi"/>
          <w:szCs w:val="21"/>
        </w:rPr>
        <w:t xml:space="preserve"> (Brown, 2009, p.</w:t>
      </w:r>
      <w:r w:rsidR="001E0AC7">
        <w:rPr>
          <w:rFonts w:asciiTheme="minorHAnsi" w:hAnsiTheme="minorHAnsi" w:cstheme="minorHAnsi"/>
          <w:szCs w:val="21"/>
        </w:rPr>
        <w:t xml:space="preserve"> </w:t>
      </w:r>
      <w:r w:rsidRPr="00771C53">
        <w:rPr>
          <w:rFonts w:asciiTheme="minorHAnsi" w:hAnsiTheme="minorHAnsi" w:cstheme="minorHAnsi"/>
          <w:szCs w:val="21"/>
        </w:rPr>
        <w:t>101).</w:t>
      </w:r>
    </w:p>
    <w:p w14:paraId="5C8E7987" w14:textId="77777777" w:rsidR="00723517" w:rsidRDefault="00723517" w:rsidP="00CE427B">
      <w:pPr>
        <w:autoSpaceDE w:val="0"/>
        <w:autoSpaceDN w:val="0"/>
        <w:adjustRightInd w:val="0"/>
        <w:spacing w:line="276" w:lineRule="auto"/>
        <w:rPr>
          <w:rFonts w:ascii="Times-Italic" w:hAnsi="Times-Italic" w:cs="Times-Italic"/>
          <w:i/>
          <w:iCs/>
          <w:color w:val="FF0000"/>
          <w:sz w:val="16"/>
          <w:szCs w:val="16"/>
        </w:rPr>
        <w:sectPr w:rsidR="00723517" w:rsidSect="00817E50">
          <w:headerReference w:type="even" r:id="rId21"/>
          <w:headerReference w:type="default" r:id="rId22"/>
          <w:footerReference w:type="even" r:id="rId23"/>
          <w:footerReference w:type="default" r:id="rId24"/>
          <w:headerReference w:type="first" r:id="rId25"/>
          <w:footerReference w:type="first" r:id="rId26"/>
          <w:pgSz w:w="11907" w:h="16840" w:code="9"/>
          <w:pgMar w:top="1440" w:right="1440" w:bottom="1440" w:left="1440" w:header="431" w:footer="720" w:gutter="0"/>
          <w:cols w:space="720"/>
          <w:docGrid w:linePitch="360"/>
        </w:sectPr>
      </w:pPr>
    </w:p>
    <w:p w14:paraId="6B1D9CF5" w14:textId="5936E602" w:rsidR="00723517" w:rsidRDefault="00723517" w:rsidP="00CE427B">
      <w:pPr>
        <w:pStyle w:val="Heading1"/>
      </w:pPr>
      <w:bookmarkStart w:id="122" w:name="_Toc49462479"/>
      <w:r>
        <w:lastRenderedPageBreak/>
        <w:t>evidence piece 13:</w:t>
      </w:r>
      <w:bookmarkEnd w:id="122"/>
    </w:p>
    <w:p w14:paraId="4964222E" w14:textId="14AF5741" w:rsidR="00723517" w:rsidRDefault="00723517" w:rsidP="00CE427B">
      <w:pPr>
        <w:pStyle w:val="Heading1"/>
      </w:pPr>
      <w:bookmarkStart w:id="123" w:name="_Toc49462480"/>
      <w:r>
        <w:t>Work-focused circles of support for people with intellectual disability</w:t>
      </w:r>
      <w:bookmarkEnd w:id="123"/>
    </w:p>
    <w:p w14:paraId="218027C3" w14:textId="77777777" w:rsidR="00723517" w:rsidRDefault="00723517" w:rsidP="00CE427B">
      <w:pPr>
        <w:pStyle w:val="Heading2"/>
        <w:pBdr>
          <w:bottom w:val="single" w:sz="4" w:space="1" w:color="auto"/>
        </w:pBdr>
      </w:pPr>
      <w:bookmarkStart w:id="124" w:name="_Toc49417950"/>
      <w:r>
        <w:t>Also known as Job Development Circles or Employment Circles of Support</w:t>
      </w:r>
      <w:bookmarkEnd w:id="124"/>
    </w:p>
    <w:p w14:paraId="4C8230A4" w14:textId="77777777" w:rsidR="00723517" w:rsidRDefault="00723517" w:rsidP="00CE427B"/>
    <w:p w14:paraId="3990E463" w14:textId="77777777" w:rsidR="00723517" w:rsidRDefault="00723517" w:rsidP="00CE427B">
      <w:pPr>
        <w:pStyle w:val="Heading2"/>
      </w:pPr>
      <w:bookmarkStart w:id="125" w:name="_Toc49417951"/>
      <w:r>
        <w:t>What is a circle of support?</w:t>
      </w:r>
      <w:bookmarkEnd w:id="125"/>
    </w:p>
    <w:p w14:paraId="06967785" w14:textId="36F7B547" w:rsidR="00723517" w:rsidRDefault="00723517" w:rsidP="00B204BE">
      <w:pPr>
        <w:spacing w:line="276" w:lineRule="auto"/>
      </w:pPr>
      <w:r>
        <w:t xml:space="preserve">Circles of support are </w:t>
      </w:r>
      <w:r w:rsidR="004C1040">
        <w:t>“</w:t>
      </w:r>
      <w:r>
        <w:t>small groups of individuals who agree to meet periodically with an individual with disabilities and help her/him secure that necessary for a decent quality of life</w:t>
      </w:r>
      <w:r w:rsidR="004C1040">
        <w:t>”</w:t>
      </w:r>
      <w:r>
        <w:t xml:space="preserve"> (Brown &amp; Kessler, 2014, p.</w:t>
      </w:r>
      <w:r w:rsidR="001E0AC7">
        <w:t xml:space="preserve"> </w:t>
      </w:r>
      <w:r>
        <w:t>91). Circles of support are guided by developing a vision of the desirable future around the focus person (</w:t>
      </w:r>
      <w:proofErr w:type="spellStart"/>
      <w:r>
        <w:t>Spagnolo</w:t>
      </w:r>
      <w:proofErr w:type="spellEnd"/>
      <w:r>
        <w:t xml:space="preserve"> et al., 2017). They can be comprised of </w:t>
      </w:r>
      <w:r w:rsidRPr="00AB3AFA">
        <w:t xml:space="preserve">family members, friends, </w:t>
      </w:r>
      <w:proofErr w:type="spellStart"/>
      <w:r w:rsidRPr="00AB3AFA">
        <w:t>neighbo</w:t>
      </w:r>
      <w:r>
        <w:t>u</w:t>
      </w:r>
      <w:r w:rsidRPr="00AB3AFA">
        <w:t>rs</w:t>
      </w:r>
      <w:proofErr w:type="spellEnd"/>
      <w:r w:rsidRPr="00AB3AFA">
        <w:t xml:space="preserve">, co-workers, people from community groups such as religious </w:t>
      </w:r>
      <w:proofErr w:type="spellStart"/>
      <w:r w:rsidRPr="00AB3AFA">
        <w:t>organisations</w:t>
      </w:r>
      <w:proofErr w:type="spellEnd"/>
      <w:r w:rsidRPr="00AB3AFA">
        <w:t>, and sometimes s</w:t>
      </w:r>
      <w:r>
        <w:t>taff from s</w:t>
      </w:r>
      <w:r w:rsidRPr="00AB3AFA">
        <w:t>ervice providers</w:t>
      </w:r>
      <w:r>
        <w:t xml:space="preserve"> (</w:t>
      </w:r>
      <w:proofErr w:type="spellStart"/>
      <w:r>
        <w:t>Spagnolo</w:t>
      </w:r>
      <w:proofErr w:type="spellEnd"/>
      <w:r>
        <w:t xml:space="preserve"> et al., 2017).</w:t>
      </w:r>
    </w:p>
    <w:p w14:paraId="5573DCB7" w14:textId="27DE1525" w:rsidR="00723517" w:rsidRPr="00AB3AFA" w:rsidRDefault="00723517" w:rsidP="00B204BE">
      <w:pPr>
        <w:spacing w:line="276" w:lineRule="auto"/>
        <w:ind w:left="360" w:right="360"/>
      </w:pPr>
      <w:r>
        <w:t>Circles of Support operate on principles of personal empowerment. These include: (1) involvement of invested and interested people, (2) focus on the individual’s preferences, talents and dreams, and (3) emphasis on personal strengths, not deficits (</w:t>
      </w:r>
      <w:proofErr w:type="spellStart"/>
      <w:r>
        <w:t>Spagnolo</w:t>
      </w:r>
      <w:proofErr w:type="spellEnd"/>
      <w:r>
        <w:t xml:space="preserve"> et al., 2017, p.</w:t>
      </w:r>
      <w:r w:rsidR="00F938CB">
        <w:t xml:space="preserve"> </w:t>
      </w:r>
      <w:r>
        <w:t>3)</w:t>
      </w:r>
      <w:r w:rsidR="0011617C">
        <w:t>.</w:t>
      </w:r>
    </w:p>
    <w:p w14:paraId="58E7498C" w14:textId="77777777" w:rsidR="00723517" w:rsidRDefault="00723517" w:rsidP="00CE427B">
      <w:pPr>
        <w:pStyle w:val="Heading2"/>
        <w:spacing w:line="276" w:lineRule="auto"/>
      </w:pPr>
      <w:bookmarkStart w:id="126" w:name="_Toc49417952"/>
      <w:r>
        <w:t>How are circles of support been used to support employment?</w:t>
      </w:r>
      <w:bookmarkEnd w:id="126"/>
    </w:p>
    <w:p w14:paraId="3BFD5D5F" w14:textId="77777777" w:rsidR="00723517" w:rsidRPr="00B84BD4" w:rsidRDefault="00723517" w:rsidP="00B204BE">
      <w:pPr>
        <w:spacing w:line="276" w:lineRule="auto"/>
      </w:pPr>
      <w:r>
        <w:t xml:space="preserve">Circles of support have also been used to support people with intellectual disability, mental illness or significant disability to seek or maintain employment. </w:t>
      </w:r>
    </w:p>
    <w:p w14:paraId="01F3D35E" w14:textId="77777777" w:rsidR="00723517" w:rsidRDefault="00723517" w:rsidP="00B204BE">
      <w:pPr>
        <w:spacing w:line="276" w:lineRule="auto"/>
        <w:rPr>
          <w:rFonts w:cs="Calibri"/>
          <w:color w:val="000000"/>
        </w:rPr>
      </w:pPr>
      <w:r w:rsidRPr="003924B3">
        <w:t xml:space="preserve">Job development circles have been used </w:t>
      </w:r>
      <w:r>
        <w:t xml:space="preserve">in the US </w:t>
      </w:r>
      <w:proofErr w:type="gramStart"/>
      <w:r>
        <w:t>as a way to</w:t>
      </w:r>
      <w:proofErr w:type="gramEnd"/>
      <w:r>
        <w:t xml:space="preserve"> generate work opportunities by drawing on the social capital of people around the person with intellectual disability </w:t>
      </w:r>
      <w:r w:rsidRPr="003924B3">
        <w:t xml:space="preserve">(Brown &amp; Kessler, 2014). </w:t>
      </w:r>
      <w:r>
        <w:t xml:space="preserve">The person with intellectual disability generates a list of people they know who work outside the home for money. This list is used as the basis for seeking support to make contacts into workplaces or for recruiting individuals to support certain tasks (such as supporting transport to work) to aid the jobseeker </w:t>
      </w:r>
      <w:r w:rsidRPr="003924B3">
        <w:t>(Brown &amp; Kessler, 2014)</w:t>
      </w:r>
      <w:r>
        <w:rPr>
          <w:rFonts w:cs="Calibri"/>
          <w:color w:val="000000"/>
        </w:rPr>
        <w:t>.</w:t>
      </w:r>
    </w:p>
    <w:p w14:paraId="02006610" w14:textId="1B20F502" w:rsidR="00723517" w:rsidRDefault="00723517" w:rsidP="00B204BE">
      <w:pPr>
        <w:spacing w:line="276" w:lineRule="auto"/>
      </w:pPr>
      <w:r w:rsidRPr="00AB3AFA">
        <w:t>In a different project in the US, circles of support have been used to support people with mental illness in supported employment settings</w:t>
      </w:r>
      <w:r>
        <w:t xml:space="preserve"> (</w:t>
      </w:r>
      <w:proofErr w:type="spellStart"/>
      <w:r w:rsidRPr="00AB3AFA">
        <w:t>Spagnolo</w:t>
      </w:r>
      <w:proofErr w:type="spellEnd"/>
      <w:r w:rsidRPr="00AB3AFA">
        <w:t xml:space="preserve"> et al., 2017). This model is based on research that suggests that ‘natural’ supports (that is, people who are not in paid roles to support the person with a disability) are best placed to support a person with significant disability into employment and in the workplace. To support employment, a circle of support work</w:t>
      </w:r>
      <w:r>
        <w:t>s</w:t>
      </w:r>
      <w:r w:rsidRPr="00AB3AFA">
        <w:t xml:space="preserve"> with the person to </w:t>
      </w:r>
      <w:r w:rsidRPr="00AB3AFA">
        <w:rPr>
          <w:rFonts w:cs="Arial"/>
        </w:rPr>
        <w:t xml:space="preserve">determine their goals in relation to employment and </w:t>
      </w:r>
      <w:proofErr w:type="spellStart"/>
      <w:r w:rsidRPr="00AB3AFA">
        <w:rPr>
          <w:rFonts w:cs="Arial"/>
        </w:rPr>
        <w:t>utili</w:t>
      </w:r>
      <w:r w:rsidR="00131ED2">
        <w:rPr>
          <w:rFonts w:cs="Arial"/>
        </w:rPr>
        <w:t>s</w:t>
      </w:r>
      <w:r w:rsidRPr="00AB3AFA">
        <w:rPr>
          <w:rFonts w:cs="Arial"/>
        </w:rPr>
        <w:t>e</w:t>
      </w:r>
      <w:r>
        <w:rPr>
          <w:rFonts w:cs="Arial"/>
        </w:rPr>
        <w:t>s</w:t>
      </w:r>
      <w:proofErr w:type="spellEnd"/>
      <w:r w:rsidRPr="00AB3AFA">
        <w:rPr>
          <w:rFonts w:cs="Arial"/>
        </w:rPr>
        <w:t xml:space="preserve"> the support network to assist the person achieve this goal</w:t>
      </w:r>
      <w:r>
        <w:rPr>
          <w:rFonts w:cs="Arial"/>
        </w:rPr>
        <w:t xml:space="preserve"> (</w:t>
      </w:r>
      <w:proofErr w:type="spellStart"/>
      <w:r w:rsidRPr="00AB3AFA">
        <w:t>Spagnolo</w:t>
      </w:r>
      <w:proofErr w:type="spellEnd"/>
      <w:r w:rsidRPr="00AB3AFA">
        <w:t xml:space="preserve"> et al., 2017)</w:t>
      </w:r>
      <w:r>
        <w:t>.</w:t>
      </w:r>
    </w:p>
    <w:p w14:paraId="64582E08" w14:textId="77777777" w:rsidR="00723517" w:rsidRDefault="00723517" w:rsidP="00B204BE">
      <w:pPr>
        <w:spacing w:line="276" w:lineRule="auto"/>
      </w:pPr>
      <w:r>
        <w:t>In the UK there are example of circles of support being used in the workplace to support workers with intellectual disability. One guide to this suggests that circles of support in the workplace can assist with:</w:t>
      </w:r>
    </w:p>
    <w:p w14:paraId="25EADEEA" w14:textId="77777777" w:rsidR="00723517" w:rsidRDefault="00723517" w:rsidP="00B204BE">
      <w:pPr>
        <w:pStyle w:val="ListParagraph"/>
        <w:numPr>
          <w:ilvl w:val="0"/>
          <w:numId w:val="48"/>
        </w:numPr>
        <w:spacing w:line="276" w:lineRule="auto"/>
      </w:pPr>
      <w:r>
        <w:t>Getting to know people</w:t>
      </w:r>
    </w:p>
    <w:p w14:paraId="3E768C6D" w14:textId="77777777" w:rsidR="00723517" w:rsidRDefault="00723517" w:rsidP="00B204BE">
      <w:pPr>
        <w:pStyle w:val="ListParagraph"/>
        <w:numPr>
          <w:ilvl w:val="0"/>
          <w:numId w:val="48"/>
        </w:numPr>
        <w:spacing w:line="276" w:lineRule="auto"/>
      </w:pPr>
      <w:r>
        <w:t>Learning new skills</w:t>
      </w:r>
    </w:p>
    <w:p w14:paraId="64F60E22" w14:textId="77777777" w:rsidR="00723517" w:rsidRDefault="00723517" w:rsidP="00B204BE">
      <w:pPr>
        <w:pStyle w:val="ListParagraph"/>
        <w:numPr>
          <w:ilvl w:val="0"/>
          <w:numId w:val="48"/>
        </w:numPr>
        <w:spacing w:line="276" w:lineRule="auto"/>
      </w:pPr>
      <w:r>
        <w:t>Learning how to act</w:t>
      </w:r>
    </w:p>
    <w:p w14:paraId="4E8914B4" w14:textId="77777777" w:rsidR="00723517" w:rsidRDefault="00723517" w:rsidP="00B204BE">
      <w:pPr>
        <w:pStyle w:val="ListParagraph"/>
        <w:numPr>
          <w:ilvl w:val="0"/>
          <w:numId w:val="48"/>
        </w:numPr>
        <w:spacing w:line="276" w:lineRule="auto"/>
      </w:pPr>
      <w:r>
        <w:t>Getting advice or problem-solving</w:t>
      </w:r>
    </w:p>
    <w:p w14:paraId="7BEC1BDF" w14:textId="77777777" w:rsidR="00723517" w:rsidRPr="00AB3AFA" w:rsidRDefault="00723517" w:rsidP="00B204BE">
      <w:pPr>
        <w:pStyle w:val="ListParagraph"/>
        <w:numPr>
          <w:ilvl w:val="0"/>
          <w:numId w:val="48"/>
        </w:numPr>
        <w:spacing w:line="276" w:lineRule="auto"/>
      </w:pPr>
      <w:r>
        <w:t>Keeping track of work tasks (Burke &amp; Ball, n.d.).</w:t>
      </w:r>
    </w:p>
    <w:p w14:paraId="2BF63C17" w14:textId="77777777" w:rsidR="00723517" w:rsidRDefault="00723517" w:rsidP="00B204BE">
      <w:pPr>
        <w:spacing w:line="276" w:lineRule="auto"/>
        <w:rPr>
          <w:rFonts w:cs="Calibri"/>
          <w:color w:val="000000"/>
        </w:rPr>
      </w:pPr>
      <w:r>
        <w:rPr>
          <w:rFonts w:cs="Calibri"/>
          <w:color w:val="000000"/>
        </w:rPr>
        <w:lastRenderedPageBreak/>
        <w:t xml:space="preserve">In Australia, </w:t>
      </w:r>
      <w:r w:rsidRPr="003924B3">
        <w:rPr>
          <w:rFonts w:cs="Calibri"/>
          <w:color w:val="000000"/>
        </w:rPr>
        <w:t xml:space="preserve">Employment circles of support </w:t>
      </w:r>
      <w:r>
        <w:rPr>
          <w:rFonts w:cs="Calibri"/>
          <w:color w:val="000000"/>
        </w:rPr>
        <w:t xml:space="preserve">(ECOS) have been used </w:t>
      </w:r>
      <w:r w:rsidRPr="003924B3">
        <w:rPr>
          <w:rFonts w:cs="Calibri"/>
          <w:color w:val="000000"/>
        </w:rPr>
        <w:t xml:space="preserve">for people with </w:t>
      </w:r>
      <w:r>
        <w:rPr>
          <w:rFonts w:cs="Calibri"/>
          <w:color w:val="000000"/>
        </w:rPr>
        <w:t xml:space="preserve">intellectual </w:t>
      </w:r>
      <w:r w:rsidRPr="003924B3">
        <w:rPr>
          <w:rFonts w:cs="Calibri"/>
          <w:color w:val="000000"/>
        </w:rPr>
        <w:t xml:space="preserve">disability </w:t>
      </w:r>
      <w:r>
        <w:rPr>
          <w:rFonts w:cs="Calibri"/>
          <w:color w:val="000000"/>
        </w:rPr>
        <w:t xml:space="preserve">or autism in one project in Victoria. </w:t>
      </w:r>
    </w:p>
    <w:p w14:paraId="206BFE6C" w14:textId="0DDDE52A" w:rsidR="00723517" w:rsidRDefault="00723517" w:rsidP="00B204BE">
      <w:pPr>
        <w:spacing w:line="276" w:lineRule="auto"/>
        <w:ind w:left="360" w:right="360"/>
      </w:pPr>
      <w:r>
        <w:t>ECOS uses circles of support with the focus of assisting the person into paid employment. The person chooses the path they would like to take and their circle members. The circle meets regularly to discuss how they can assist the person to get a job, develop their skills and nurture their abilities (</w:t>
      </w:r>
      <w:proofErr w:type="spellStart"/>
      <w:r>
        <w:t>Bytschkow</w:t>
      </w:r>
      <w:proofErr w:type="spellEnd"/>
      <w:r>
        <w:t>, 2016, p.</w:t>
      </w:r>
      <w:r w:rsidR="00260BA3">
        <w:t xml:space="preserve"> </w:t>
      </w:r>
      <w:r>
        <w:t>5)</w:t>
      </w:r>
      <w:r w:rsidR="0011617C">
        <w:t>.</w:t>
      </w:r>
    </w:p>
    <w:p w14:paraId="6A0C3452" w14:textId="77777777" w:rsidR="00723517" w:rsidRDefault="00723517" w:rsidP="00B204BE">
      <w:pPr>
        <w:spacing w:line="276" w:lineRule="auto"/>
      </w:pPr>
      <w:r w:rsidRPr="00E00937">
        <w:t>In this model, the Employment circle of support is comprised of</w:t>
      </w:r>
      <w:r>
        <w:t>:</w:t>
      </w:r>
    </w:p>
    <w:p w14:paraId="71402BBE" w14:textId="77777777" w:rsidR="00723517" w:rsidRDefault="00723517" w:rsidP="00B204BE">
      <w:pPr>
        <w:pStyle w:val="ListParagraph"/>
        <w:numPr>
          <w:ilvl w:val="0"/>
          <w:numId w:val="49"/>
        </w:numPr>
        <w:spacing w:line="276" w:lineRule="auto"/>
      </w:pPr>
      <w:r w:rsidRPr="00E00937">
        <w:t>the person with disability</w:t>
      </w:r>
    </w:p>
    <w:p w14:paraId="45DAFED3" w14:textId="77777777" w:rsidR="00723517" w:rsidRDefault="00723517" w:rsidP="00B204BE">
      <w:pPr>
        <w:pStyle w:val="ListParagraph"/>
        <w:numPr>
          <w:ilvl w:val="0"/>
          <w:numId w:val="49"/>
        </w:numPr>
        <w:spacing w:line="276" w:lineRule="auto"/>
      </w:pPr>
      <w:r w:rsidRPr="00E00937">
        <w:t>family members</w:t>
      </w:r>
      <w:r>
        <w:t xml:space="preserve">, </w:t>
      </w:r>
      <w:r w:rsidRPr="00E00937">
        <w:t>friends</w:t>
      </w:r>
      <w:r>
        <w:t xml:space="preserve"> and ‘outside’ supports (such as a teacher or coach)</w:t>
      </w:r>
    </w:p>
    <w:p w14:paraId="7D6EC695" w14:textId="1D04844A" w:rsidR="00723517" w:rsidRDefault="00723517" w:rsidP="00B204BE">
      <w:pPr>
        <w:pStyle w:val="ListParagraph"/>
        <w:numPr>
          <w:ilvl w:val="0"/>
          <w:numId w:val="49"/>
        </w:numPr>
        <w:spacing w:line="276" w:lineRule="auto"/>
      </w:pPr>
      <w:r w:rsidRPr="00E00937">
        <w:t xml:space="preserve">a mentor (that is </w:t>
      </w:r>
      <w:r w:rsidR="007B0BC2">
        <w:t>“</w:t>
      </w:r>
      <w:r w:rsidRPr="00E00937">
        <w:t>someone who makes a commitment to support the person to be job ready</w:t>
      </w:r>
      <w:r w:rsidR="007B0BC2">
        <w:t>”</w:t>
      </w:r>
      <w:r>
        <w:t xml:space="preserve"> including spending unpaid time in the workplace to support the person with disability learn their role</w:t>
      </w:r>
      <w:r w:rsidRPr="00E00937">
        <w:t>)</w:t>
      </w:r>
    </w:p>
    <w:p w14:paraId="1DC52B7B" w14:textId="6468ECFC" w:rsidR="00723517" w:rsidRPr="0002130A" w:rsidRDefault="00723517" w:rsidP="00B204BE">
      <w:pPr>
        <w:pStyle w:val="ListParagraph"/>
        <w:numPr>
          <w:ilvl w:val="0"/>
          <w:numId w:val="49"/>
        </w:numPr>
        <w:spacing w:line="276" w:lineRule="auto"/>
      </w:pPr>
      <w:r w:rsidRPr="00E00937">
        <w:t>an employer (</w:t>
      </w:r>
      <w:r w:rsidR="007B0BC2">
        <w:t>“</w:t>
      </w:r>
      <w:r w:rsidRPr="00E00937">
        <w:t>w</w:t>
      </w:r>
      <w:r w:rsidRPr="0002130A">
        <w:rPr>
          <w:rFonts w:cs="Arial"/>
        </w:rPr>
        <w:t>ho offers long term work experience with an aim of offering a paid job</w:t>
      </w:r>
      <w:r w:rsidR="007B0BC2">
        <w:rPr>
          <w:rFonts w:cs="Arial"/>
        </w:rPr>
        <w:t>”</w:t>
      </w:r>
      <w:r w:rsidRPr="0002130A">
        <w:rPr>
          <w:rFonts w:cs="Arial"/>
        </w:rPr>
        <w:t>)</w:t>
      </w:r>
      <w:r>
        <w:rPr>
          <w:rFonts w:cs="Arial"/>
        </w:rPr>
        <w:t>,</w:t>
      </w:r>
      <w:r w:rsidRPr="0002130A">
        <w:rPr>
          <w:rFonts w:cs="Arial"/>
        </w:rPr>
        <w:t xml:space="preserve"> and </w:t>
      </w:r>
    </w:p>
    <w:p w14:paraId="3021D025" w14:textId="55C9FA91" w:rsidR="00723517" w:rsidRDefault="00723517" w:rsidP="00B204BE">
      <w:pPr>
        <w:pStyle w:val="ListParagraph"/>
        <w:numPr>
          <w:ilvl w:val="0"/>
          <w:numId w:val="49"/>
        </w:numPr>
        <w:spacing w:line="276" w:lineRule="auto"/>
      </w:pPr>
      <w:r w:rsidRPr="0002130A">
        <w:rPr>
          <w:rFonts w:cs="Arial"/>
        </w:rPr>
        <w:t xml:space="preserve">a paid facilitator </w:t>
      </w:r>
      <w:r>
        <w:t>(</w:t>
      </w:r>
      <w:proofErr w:type="spellStart"/>
      <w:r>
        <w:t>Bytschkow</w:t>
      </w:r>
      <w:proofErr w:type="spellEnd"/>
      <w:r>
        <w:t>, 2016, p.</w:t>
      </w:r>
      <w:r w:rsidR="00260BA3">
        <w:t xml:space="preserve"> </w:t>
      </w:r>
      <w:r>
        <w:t xml:space="preserve">6). </w:t>
      </w:r>
    </w:p>
    <w:p w14:paraId="1C3AF9B4" w14:textId="77777777" w:rsidR="00723517" w:rsidRDefault="00723517" w:rsidP="00B204BE">
      <w:pPr>
        <w:spacing w:line="276" w:lineRule="auto"/>
      </w:pPr>
      <w:r>
        <w:t>The circle meets regularly (6-8 weekly) and discusses the employment goals of the individual and strategies to achieve these. The focus person (person with a disability) is encouraged to chair the meetings.</w:t>
      </w:r>
    </w:p>
    <w:p w14:paraId="1D8A3533" w14:textId="14AD42FE" w:rsidR="00723517" w:rsidRDefault="00723517" w:rsidP="00B204BE">
      <w:pPr>
        <w:tabs>
          <w:tab w:val="left" w:pos="360"/>
        </w:tabs>
        <w:spacing w:line="276" w:lineRule="auto"/>
        <w:ind w:left="360"/>
      </w:pPr>
      <w:r w:rsidRPr="00E00937">
        <w:t>The aim is to find long term work placement in accordance with the individuals’ skills and interest, with employment as the outcome</w:t>
      </w:r>
      <w:r>
        <w:t xml:space="preserve"> (</w:t>
      </w:r>
      <w:proofErr w:type="spellStart"/>
      <w:r>
        <w:t>Bytschkow</w:t>
      </w:r>
      <w:proofErr w:type="spellEnd"/>
      <w:r>
        <w:t>, 2016, p.</w:t>
      </w:r>
      <w:r w:rsidR="00260BA3">
        <w:t xml:space="preserve"> </w:t>
      </w:r>
      <w:r>
        <w:t>7)</w:t>
      </w:r>
      <w:r w:rsidR="0011617C">
        <w:t>.</w:t>
      </w:r>
    </w:p>
    <w:p w14:paraId="5A27B1F4" w14:textId="77777777" w:rsidR="00723517" w:rsidRDefault="00723517" w:rsidP="00B204BE">
      <w:pPr>
        <w:tabs>
          <w:tab w:val="left" w:pos="360"/>
        </w:tabs>
        <w:spacing w:line="276" w:lineRule="auto"/>
      </w:pPr>
      <w:r>
        <w:t>Circle members undertake various activities including approaching employers to seek a long term work placement or job, introducing the person to the employer, mentoring the person in the workplace, assisting them to learn skills, supporting transport to the workplace, among other things (</w:t>
      </w:r>
      <w:proofErr w:type="spellStart"/>
      <w:r>
        <w:t>Bytschkow</w:t>
      </w:r>
      <w:proofErr w:type="spellEnd"/>
      <w:r>
        <w:t>, 2016).</w:t>
      </w:r>
    </w:p>
    <w:p w14:paraId="3FE2C1F8" w14:textId="77777777" w:rsidR="00723517" w:rsidRDefault="00723517" w:rsidP="00B204BE">
      <w:pPr>
        <w:tabs>
          <w:tab w:val="left" w:pos="360"/>
        </w:tabs>
        <w:spacing w:line="276" w:lineRule="auto"/>
      </w:pPr>
      <w:r>
        <w:t>The ECOS project was run in 2016 and involved 5 participants aged 14-21 with most still being at school. Most attended a work placement one day per week. Following 12 months, two were offered ongoing employment and others continued with education options (</w:t>
      </w:r>
      <w:proofErr w:type="spellStart"/>
      <w:r>
        <w:t>Bytschkow</w:t>
      </w:r>
      <w:proofErr w:type="spellEnd"/>
      <w:r>
        <w:t>, 2016). No independent evaluation is available.</w:t>
      </w:r>
    </w:p>
    <w:p w14:paraId="7938293F" w14:textId="77777777" w:rsidR="00723517" w:rsidRDefault="00723517" w:rsidP="00B204BE">
      <w:pPr>
        <w:tabs>
          <w:tab w:val="left" w:pos="360"/>
        </w:tabs>
      </w:pPr>
    </w:p>
    <w:p w14:paraId="36D6A425" w14:textId="77777777" w:rsidR="00723517" w:rsidRDefault="00723517" w:rsidP="00CE427B">
      <w:pPr>
        <w:tabs>
          <w:tab w:val="left" w:pos="360"/>
        </w:tabs>
        <w:sectPr w:rsidR="00723517" w:rsidSect="002F5137">
          <w:pgSz w:w="11907" w:h="16840" w:code="9"/>
          <w:pgMar w:top="1440" w:right="1440" w:bottom="1440" w:left="1440" w:header="431" w:footer="720" w:gutter="0"/>
          <w:cols w:space="720"/>
          <w:docGrid w:linePitch="360"/>
        </w:sectPr>
      </w:pPr>
    </w:p>
    <w:p w14:paraId="7EBEA5DC" w14:textId="2B5CA5D0" w:rsidR="00723517" w:rsidRDefault="00723517" w:rsidP="00CE427B">
      <w:pPr>
        <w:pStyle w:val="Heading1"/>
        <w:pBdr>
          <w:bottom w:val="single" w:sz="4" w:space="1" w:color="auto"/>
        </w:pBdr>
        <w:spacing w:line="276" w:lineRule="auto"/>
      </w:pPr>
      <w:bookmarkStart w:id="127" w:name="_Toc49462481"/>
      <w:r>
        <w:lastRenderedPageBreak/>
        <w:t>evidence piece 14:</w:t>
      </w:r>
      <w:bookmarkEnd w:id="127"/>
    </w:p>
    <w:p w14:paraId="625C5382" w14:textId="77F0FA5A" w:rsidR="00723517" w:rsidRDefault="00723517" w:rsidP="00CE427B">
      <w:pPr>
        <w:pStyle w:val="Heading1"/>
        <w:pBdr>
          <w:bottom w:val="single" w:sz="4" w:space="1" w:color="auto"/>
        </w:pBdr>
        <w:spacing w:line="276" w:lineRule="auto"/>
      </w:pPr>
      <w:bookmarkStart w:id="128" w:name="_Toc49462482"/>
      <w:r>
        <w:t>Mentoring to support transition and employment for people with intellectual disability</w:t>
      </w:r>
      <w:bookmarkEnd w:id="128"/>
    </w:p>
    <w:p w14:paraId="0AFC81B1" w14:textId="77777777" w:rsidR="00723517" w:rsidRDefault="00723517" w:rsidP="00DF357E"/>
    <w:p w14:paraId="14080B9D" w14:textId="77777777" w:rsidR="00723517" w:rsidRDefault="00723517" w:rsidP="00CE427B">
      <w:pPr>
        <w:pStyle w:val="Heading2"/>
        <w:spacing w:line="276" w:lineRule="auto"/>
      </w:pPr>
      <w:bookmarkStart w:id="129" w:name="_Toc49417955"/>
      <w:r>
        <w:t>What is mentoring?</w:t>
      </w:r>
      <w:bookmarkEnd w:id="129"/>
    </w:p>
    <w:p w14:paraId="13B2553D" w14:textId="55EFCFBB" w:rsidR="00723517" w:rsidRDefault="00723517" w:rsidP="009B5AA2">
      <w:pPr>
        <w:spacing w:line="276" w:lineRule="auto"/>
        <w:ind w:left="360" w:right="360"/>
      </w:pPr>
      <w:r>
        <w:t>Mentorship relationships entail the provision of ongoing guidance, instruction, and encouragement to promote competence (Lindsay et al., 2016, p. 1330)</w:t>
      </w:r>
      <w:r w:rsidR="0011617C">
        <w:t>.</w:t>
      </w:r>
    </w:p>
    <w:p w14:paraId="3B7CB869" w14:textId="77777777" w:rsidR="00723517" w:rsidRDefault="00723517" w:rsidP="009B5AA2">
      <w:pPr>
        <w:spacing w:line="276" w:lineRule="auto"/>
      </w:pPr>
      <w:r>
        <w:t>Other elements of a mentoring relationship include:</w:t>
      </w:r>
    </w:p>
    <w:p w14:paraId="3ABB7746" w14:textId="77777777" w:rsidR="00723517" w:rsidRDefault="00723517" w:rsidP="009B5AA2">
      <w:pPr>
        <w:pStyle w:val="ListParagraph"/>
        <w:numPr>
          <w:ilvl w:val="0"/>
          <w:numId w:val="50"/>
        </w:numPr>
        <w:spacing w:line="276" w:lineRule="auto"/>
      </w:pPr>
      <w:r>
        <w:t xml:space="preserve">It is reciprocal, though the main focus is on the growth and development of the </w:t>
      </w:r>
      <w:proofErr w:type="gramStart"/>
      <w:r>
        <w:t>mentee;</w:t>
      </w:r>
      <w:proofErr w:type="gramEnd"/>
    </w:p>
    <w:p w14:paraId="44DB9E2F" w14:textId="65E8EAFE" w:rsidR="00723517" w:rsidRDefault="00723517" w:rsidP="009B5AA2">
      <w:pPr>
        <w:pStyle w:val="ListParagraph"/>
        <w:numPr>
          <w:ilvl w:val="0"/>
          <w:numId w:val="50"/>
        </w:numPr>
        <w:spacing w:line="276" w:lineRule="auto"/>
      </w:pPr>
      <w:r>
        <w:t>It is dynamic: the relationship changes over time (Lindsay et al.</w:t>
      </w:r>
      <w:r w:rsidR="00EE2782">
        <w:t>,</w:t>
      </w:r>
      <w:r>
        <w:t xml:space="preserve"> 2016).</w:t>
      </w:r>
    </w:p>
    <w:p w14:paraId="38503E2D" w14:textId="77777777" w:rsidR="00723517" w:rsidRDefault="00723517" w:rsidP="009B5AA2">
      <w:pPr>
        <w:spacing w:line="276" w:lineRule="auto"/>
      </w:pPr>
      <w:r>
        <w:t>There are many types of mentoring including face to face activity, electronic mentoring, and peer mentoring models.</w:t>
      </w:r>
    </w:p>
    <w:p w14:paraId="796E1AA9" w14:textId="259FC2A0" w:rsidR="00723517" w:rsidRDefault="00723517" w:rsidP="009B5AA2">
      <w:pPr>
        <w:spacing w:line="276" w:lineRule="auto"/>
      </w:pPr>
      <w:r>
        <w:t xml:space="preserve">Peer mentoring is a type of mentoring where mentors are </w:t>
      </w:r>
      <w:r w:rsidR="000D4679">
        <w:t>“</w:t>
      </w:r>
      <w:r>
        <w:t>individuals who share a common characteristic such as age, gender or identifying as a person with a disability</w:t>
      </w:r>
      <w:r w:rsidR="000D4679">
        <w:t>”</w:t>
      </w:r>
      <w:r>
        <w:t xml:space="preserve"> (Kramer et al. 2018, p. 118). Peer mentoring draws on learning from the mentor’s lived experience which is seen to be </w:t>
      </w:r>
      <w:r w:rsidR="000D4679">
        <w:t>“</w:t>
      </w:r>
      <w:r>
        <w:t>unique from and complementary to formal instruction or support provided by professionals</w:t>
      </w:r>
      <w:r w:rsidR="000D4679">
        <w:t>”</w:t>
      </w:r>
      <w:r>
        <w:t xml:space="preserve"> (Kramer et al., 2018, p. 119).</w:t>
      </w:r>
    </w:p>
    <w:p w14:paraId="1001CF31" w14:textId="40C0A03B" w:rsidR="00723517" w:rsidRDefault="00723517" w:rsidP="009B5AA2">
      <w:pPr>
        <w:spacing w:line="276" w:lineRule="auto"/>
        <w:ind w:left="360" w:right="360"/>
      </w:pPr>
      <w:r>
        <w:t>Peer mentoring for transition‐age youth with I/DD [intellectual and developmental disability] provides an opportunity for mentees to gain knowledge that supports successful transition to adulthood. For example, mentees with I/DD may benefit from peer mentors with I/DD who have experience setting and achieving goals, who know how to problem‐solve barriers to inclusion and participation and who internalize a positive disability identity (Kramer et al., 2018, p.</w:t>
      </w:r>
      <w:r w:rsidR="00A166EC">
        <w:t xml:space="preserve"> </w:t>
      </w:r>
      <w:r>
        <w:t>119).</w:t>
      </w:r>
    </w:p>
    <w:p w14:paraId="072C7E47" w14:textId="22B3FE0A" w:rsidR="00723517" w:rsidRDefault="00723517" w:rsidP="009B5AA2">
      <w:pPr>
        <w:spacing w:line="276" w:lineRule="auto"/>
      </w:pPr>
      <w:r>
        <w:t>Electronic mentoring (e-mentoring) includes using email, online (e.g. video chat, synchronous typed messaging), and phone calls either as the main or sole form of communication or in tandem with some in-person activities (Kramer et al.</w:t>
      </w:r>
      <w:r w:rsidR="00A166EC">
        <w:t>,</w:t>
      </w:r>
      <w:r>
        <w:t xml:space="preserve"> 2018). </w:t>
      </w:r>
    </w:p>
    <w:p w14:paraId="437978E1" w14:textId="77777777" w:rsidR="00723517" w:rsidRPr="00723517" w:rsidRDefault="00723517" w:rsidP="009B5AA2">
      <w:pPr>
        <w:pStyle w:val="Default"/>
        <w:spacing w:before="120" w:line="276" w:lineRule="auto"/>
        <w:rPr>
          <w:rFonts w:asciiTheme="minorHAnsi" w:hAnsiTheme="minorHAnsi" w:cstheme="minorHAnsi"/>
          <w:sz w:val="21"/>
          <w:szCs w:val="21"/>
        </w:rPr>
      </w:pPr>
      <w:r w:rsidRPr="00723517">
        <w:rPr>
          <w:rFonts w:asciiTheme="minorHAnsi" w:hAnsiTheme="minorHAnsi" w:cstheme="minorHAnsi"/>
          <w:sz w:val="21"/>
          <w:szCs w:val="21"/>
        </w:rPr>
        <w:t>Mentoring related to transition from school to post school education and employment can take many forms, for example it can be undertaken in one-to-one or in group formats and be offered in many locations, including:</w:t>
      </w:r>
    </w:p>
    <w:p w14:paraId="261F236F" w14:textId="77777777" w:rsidR="00723517" w:rsidRPr="00723517" w:rsidRDefault="00723517" w:rsidP="009B5AA2">
      <w:pPr>
        <w:pStyle w:val="Default"/>
        <w:numPr>
          <w:ilvl w:val="0"/>
          <w:numId w:val="51"/>
        </w:numPr>
        <w:spacing w:before="120" w:line="276" w:lineRule="auto"/>
        <w:rPr>
          <w:rFonts w:asciiTheme="minorHAnsi" w:hAnsiTheme="minorHAnsi" w:cstheme="minorHAnsi"/>
          <w:sz w:val="21"/>
          <w:szCs w:val="21"/>
        </w:rPr>
      </w:pPr>
      <w:r w:rsidRPr="00723517">
        <w:rPr>
          <w:rFonts w:asciiTheme="minorHAnsi" w:hAnsiTheme="minorHAnsi" w:cstheme="minorHAnsi"/>
          <w:sz w:val="21"/>
          <w:szCs w:val="21"/>
        </w:rPr>
        <w:t>School-based. This has included: being delivered by adults with disability in classroom settings; peer tutoring or peer mentoring.</w:t>
      </w:r>
    </w:p>
    <w:p w14:paraId="139F2F0C" w14:textId="4F15FB92" w:rsidR="00723517" w:rsidRPr="00723517" w:rsidRDefault="00723517" w:rsidP="009B5AA2">
      <w:pPr>
        <w:pStyle w:val="Default"/>
        <w:numPr>
          <w:ilvl w:val="0"/>
          <w:numId w:val="51"/>
        </w:numPr>
        <w:spacing w:before="120" w:line="276" w:lineRule="auto"/>
        <w:rPr>
          <w:rFonts w:asciiTheme="minorHAnsi" w:hAnsiTheme="minorHAnsi" w:cstheme="minorHAnsi"/>
          <w:sz w:val="21"/>
          <w:szCs w:val="21"/>
        </w:rPr>
      </w:pPr>
      <w:r w:rsidRPr="00723517">
        <w:rPr>
          <w:rFonts w:asciiTheme="minorHAnsi" w:hAnsiTheme="minorHAnsi" w:cstheme="minorHAnsi"/>
          <w:sz w:val="21"/>
          <w:szCs w:val="21"/>
        </w:rPr>
        <w:t xml:space="preserve">Community based, </w:t>
      </w:r>
      <w:proofErr w:type="spellStart"/>
      <w:r w:rsidRPr="00723517">
        <w:rPr>
          <w:rFonts w:asciiTheme="minorHAnsi" w:hAnsiTheme="minorHAnsi" w:cstheme="minorHAnsi"/>
          <w:sz w:val="21"/>
          <w:szCs w:val="21"/>
        </w:rPr>
        <w:t>utili</w:t>
      </w:r>
      <w:r w:rsidR="00131ED2">
        <w:rPr>
          <w:rFonts w:asciiTheme="minorHAnsi" w:hAnsiTheme="minorHAnsi" w:cstheme="minorHAnsi"/>
          <w:sz w:val="21"/>
          <w:szCs w:val="21"/>
        </w:rPr>
        <w:t>s</w:t>
      </w:r>
      <w:r w:rsidRPr="00723517">
        <w:rPr>
          <w:rFonts w:asciiTheme="minorHAnsi" w:hAnsiTheme="minorHAnsi" w:cstheme="minorHAnsi"/>
          <w:sz w:val="21"/>
          <w:szCs w:val="21"/>
        </w:rPr>
        <w:t>ing</w:t>
      </w:r>
      <w:proofErr w:type="spellEnd"/>
      <w:r w:rsidRPr="00723517">
        <w:rPr>
          <w:rFonts w:asciiTheme="minorHAnsi" w:hAnsiTheme="minorHAnsi" w:cstheme="minorHAnsi"/>
          <w:sz w:val="21"/>
          <w:szCs w:val="21"/>
        </w:rPr>
        <w:t xml:space="preserve"> trained mentors (sometimes peer mentors) involving groups or one-one mentoring face to face or via phone and online contact.</w:t>
      </w:r>
    </w:p>
    <w:p w14:paraId="5CDC8B0B" w14:textId="77777777" w:rsidR="00723517" w:rsidRPr="00723517" w:rsidRDefault="00723517" w:rsidP="009B5AA2">
      <w:pPr>
        <w:pStyle w:val="Default"/>
        <w:numPr>
          <w:ilvl w:val="0"/>
          <w:numId w:val="51"/>
        </w:numPr>
        <w:spacing w:before="120" w:line="276" w:lineRule="auto"/>
        <w:rPr>
          <w:rFonts w:asciiTheme="minorHAnsi" w:hAnsiTheme="minorHAnsi" w:cstheme="minorHAnsi"/>
          <w:sz w:val="21"/>
          <w:szCs w:val="21"/>
        </w:rPr>
      </w:pPr>
      <w:r w:rsidRPr="00723517">
        <w:rPr>
          <w:rFonts w:asciiTheme="minorHAnsi" w:hAnsiTheme="minorHAnsi" w:cstheme="minorHAnsi"/>
          <w:sz w:val="21"/>
          <w:szCs w:val="21"/>
        </w:rPr>
        <w:t>Work based, using co-workers as mentors, or peers without disability as mentors (</w:t>
      </w:r>
      <w:proofErr w:type="spellStart"/>
      <w:r w:rsidRPr="00723517">
        <w:rPr>
          <w:rFonts w:asciiTheme="minorHAnsi" w:hAnsiTheme="minorHAnsi" w:cstheme="minorHAnsi"/>
          <w:sz w:val="21"/>
          <w:szCs w:val="21"/>
        </w:rPr>
        <w:t>Kaehne</w:t>
      </w:r>
      <w:proofErr w:type="spellEnd"/>
      <w:r w:rsidRPr="00723517">
        <w:rPr>
          <w:rFonts w:asciiTheme="minorHAnsi" w:hAnsiTheme="minorHAnsi" w:cstheme="minorHAnsi"/>
          <w:sz w:val="21"/>
          <w:szCs w:val="21"/>
        </w:rPr>
        <w:t xml:space="preserve"> &amp; Bayer, 2013).</w:t>
      </w:r>
    </w:p>
    <w:p w14:paraId="13CEFADE" w14:textId="77777777" w:rsidR="00723517" w:rsidRPr="00723517" w:rsidRDefault="00723517" w:rsidP="009B5AA2">
      <w:pPr>
        <w:pStyle w:val="Default"/>
        <w:numPr>
          <w:ilvl w:val="0"/>
          <w:numId w:val="51"/>
        </w:numPr>
        <w:spacing w:before="120" w:line="276" w:lineRule="auto"/>
        <w:rPr>
          <w:rFonts w:asciiTheme="minorHAnsi" w:hAnsiTheme="minorHAnsi" w:cstheme="minorHAnsi"/>
          <w:sz w:val="21"/>
          <w:szCs w:val="21"/>
        </w:rPr>
      </w:pPr>
      <w:r w:rsidRPr="00723517">
        <w:rPr>
          <w:rFonts w:asciiTheme="minorHAnsi" w:hAnsiTheme="minorHAnsi" w:cstheme="minorHAnsi"/>
          <w:sz w:val="21"/>
          <w:szCs w:val="21"/>
        </w:rPr>
        <w:t>Online, using peer mentors who connect with mentees via email and internet activities.</w:t>
      </w:r>
    </w:p>
    <w:p w14:paraId="067AD046" w14:textId="5AE1B529" w:rsidR="00723517" w:rsidRPr="00723517" w:rsidRDefault="00723517" w:rsidP="009B5AA2">
      <w:pPr>
        <w:pStyle w:val="Default"/>
        <w:numPr>
          <w:ilvl w:val="0"/>
          <w:numId w:val="51"/>
        </w:numPr>
        <w:spacing w:before="120" w:line="276" w:lineRule="auto"/>
        <w:rPr>
          <w:rFonts w:asciiTheme="minorHAnsi" w:hAnsiTheme="minorHAnsi" w:cstheme="minorHAnsi"/>
          <w:sz w:val="21"/>
          <w:szCs w:val="21"/>
        </w:rPr>
      </w:pPr>
      <w:r w:rsidRPr="00723517">
        <w:rPr>
          <w:rFonts w:asciiTheme="minorHAnsi" w:hAnsiTheme="minorHAnsi" w:cstheme="minorHAnsi"/>
          <w:sz w:val="21"/>
          <w:szCs w:val="21"/>
        </w:rPr>
        <w:t>Focused on families</w:t>
      </w:r>
      <w:r w:rsidR="0011617C">
        <w:rPr>
          <w:rFonts w:asciiTheme="minorHAnsi" w:hAnsiTheme="minorHAnsi" w:cstheme="minorHAnsi"/>
          <w:sz w:val="21"/>
          <w:szCs w:val="21"/>
        </w:rPr>
        <w:t>.</w:t>
      </w:r>
    </w:p>
    <w:p w14:paraId="53E4CB08" w14:textId="1CBC85E1" w:rsidR="00723517" w:rsidRPr="00950696" w:rsidRDefault="00723517" w:rsidP="009B5AA2">
      <w:pPr>
        <w:pStyle w:val="Default"/>
        <w:numPr>
          <w:ilvl w:val="0"/>
          <w:numId w:val="51"/>
        </w:numPr>
        <w:spacing w:before="120" w:line="276" w:lineRule="auto"/>
        <w:rPr>
          <w:rFonts w:asciiTheme="minorHAnsi" w:hAnsiTheme="minorHAnsi" w:cstheme="minorHAnsi"/>
          <w:sz w:val="21"/>
          <w:szCs w:val="21"/>
        </w:rPr>
      </w:pPr>
      <w:r w:rsidRPr="00723517">
        <w:rPr>
          <w:rFonts w:asciiTheme="minorHAnsi" w:hAnsiTheme="minorHAnsi" w:cstheme="minorHAnsi"/>
          <w:sz w:val="21"/>
          <w:szCs w:val="21"/>
        </w:rPr>
        <w:t>Or have multiple elements of the above (Lindsay et al.</w:t>
      </w:r>
      <w:r w:rsidR="00EE2782">
        <w:rPr>
          <w:rFonts w:asciiTheme="minorHAnsi" w:hAnsiTheme="minorHAnsi" w:cstheme="minorHAnsi"/>
          <w:sz w:val="21"/>
          <w:szCs w:val="21"/>
        </w:rPr>
        <w:t>,</w:t>
      </w:r>
      <w:r w:rsidRPr="00723517">
        <w:rPr>
          <w:rFonts w:asciiTheme="minorHAnsi" w:hAnsiTheme="minorHAnsi" w:cstheme="minorHAnsi"/>
          <w:sz w:val="21"/>
          <w:szCs w:val="21"/>
        </w:rPr>
        <w:t xml:space="preserve"> 2016).</w:t>
      </w:r>
    </w:p>
    <w:p w14:paraId="0B4DDEDB" w14:textId="77777777" w:rsidR="00723517" w:rsidRDefault="00723517" w:rsidP="009B5AA2">
      <w:pPr>
        <w:spacing w:line="276" w:lineRule="auto"/>
      </w:pPr>
      <w:r>
        <w:lastRenderedPageBreak/>
        <w:t>In mentoring programs focused on transition to work, mentors:</w:t>
      </w:r>
    </w:p>
    <w:p w14:paraId="456B2F15" w14:textId="77777777" w:rsidR="00723517" w:rsidRDefault="00723517" w:rsidP="009B5AA2">
      <w:pPr>
        <w:pStyle w:val="ListParagraph"/>
        <w:numPr>
          <w:ilvl w:val="0"/>
          <w:numId w:val="54"/>
        </w:numPr>
        <w:spacing w:line="276" w:lineRule="auto"/>
      </w:pPr>
      <w:r>
        <w:t>Are role models</w:t>
      </w:r>
    </w:p>
    <w:p w14:paraId="3BFA02F5" w14:textId="77777777" w:rsidR="00723517" w:rsidRDefault="00723517" w:rsidP="009B5AA2">
      <w:pPr>
        <w:pStyle w:val="ListParagraph"/>
        <w:numPr>
          <w:ilvl w:val="0"/>
          <w:numId w:val="54"/>
        </w:numPr>
        <w:spacing w:line="276" w:lineRule="auto"/>
      </w:pPr>
      <w:r>
        <w:t>Provide social and emotional support</w:t>
      </w:r>
    </w:p>
    <w:p w14:paraId="0150520A" w14:textId="77777777" w:rsidR="00723517" w:rsidRDefault="00723517" w:rsidP="009B5AA2">
      <w:pPr>
        <w:pStyle w:val="ListParagraph"/>
        <w:numPr>
          <w:ilvl w:val="0"/>
          <w:numId w:val="54"/>
        </w:numPr>
        <w:spacing w:line="276" w:lineRule="auto"/>
      </w:pPr>
      <w:r>
        <w:t>Provide motivation and encouragement</w:t>
      </w:r>
    </w:p>
    <w:p w14:paraId="016805BB" w14:textId="77777777" w:rsidR="00723517" w:rsidRDefault="00723517" w:rsidP="009B5AA2">
      <w:pPr>
        <w:pStyle w:val="ListParagraph"/>
        <w:numPr>
          <w:ilvl w:val="0"/>
          <w:numId w:val="54"/>
        </w:numPr>
        <w:spacing w:line="276" w:lineRule="auto"/>
      </w:pPr>
      <w:r>
        <w:t>Help mentees (young people with disability) to navigate services</w:t>
      </w:r>
    </w:p>
    <w:p w14:paraId="0EB07DFA" w14:textId="77777777" w:rsidR="00723517" w:rsidRDefault="00723517" w:rsidP="009B5AA2">
      <w:pPr>
        <w:pStyle w:val="ListParagraph"/>
        <w:numPr>
          <w:ilvl w:val="0"/>
          <w:numId w:val="54"/>
        </w:numPr>
        <w:spacing w:line="276" w:lineRule="auto"/>
      </w:pPr>
      <w:r>
        <w:t>Support mentees to build social and self-advocacy skills</w:t>
      </w:r>
    </w:p>
    <w:p w14:paraId="23DD90C9" w14:textId="44C20F9F" w:rsidR="00723517" w:rsidRDefault="00723517" w:rsidP="009B5AA2">
      <w:pPr>
        <w:pStyle w:val="ListParagraph"/>
        <w:numPr>
          <w:ilvl w:val="0"/>
          <w:numId w:val="54"/>
        </w:numPr>
        <w:spacing w:line="276" w:lineRule="auto"/>
      </w:pPr>
      <w:r>
        <w:t>Provide advice on work options and opportunities (Lindsay et al.</w:t>
      </w:r>
      <w:r w:rsidR="00EE2782">
        <w:t>,</w:t>
      </w:r>
      <w:r>
        <w:t xml:space="preserve"> 2016).</w:t>
      </w:r>
    </w:p>
    <w:p w14:paraId="0608399D" w14:textId="77777777" w:rsidR="00723517" w:rsidRDefault="00723517" w:rsidP="00CE427B">
      <w:pPr>
        <w:pStyle w:val="Heading2"/>
        <w:spacing w:after="120" w:line="276" w:lineRule="auto"/>
      </w:pPr>
      <w:bookmarkStart w:id="130" w:name="_Toc49417956"/>
      <w:r>
        <w:t>Outcomes of mentoring</w:t>
      </w:r>
      <w:bookmarkEnd w:id="130"/>
      <w:r>
        <w:t xml:space="preserve"> </w:t>
      </w:r>
    </w:p>
    <w:p w14:paraId="0496FBEA" w14:textId="6C87A04B" w:rsidR="00723517" w:rsidRPr="00723517" w:rsidRDefault="00723517" w:rsidP="009B5AA2">
      <w:pPr>
        <w:pStyle w:val="Default"/>
        <w:spacing w:before="120" w:line="276" w:lineRule="auto"/>
        <w:rPr>
          <w:rFonts w:asciiTheme="minorHAnsi" w:hAnsiTheme="minorHAnsi" w:cstheme="minorHAnsi"/>
          <w:sz w:val="21"/>
          <w:szCs w:val="21"/>
        </w:rPr>
      </w:pPr>
      <w:r w:rsidRPr="00723517">
        <w:rPr>
          <w:rFonts w:asciiTheme="minorHAnsi" w:hAnsiTheme="minorHAnsi" w:cstheme="minorHAnsi"/>
          <w:sz w:val="21"/>
          <w:szCs w:val="21"/>
        </w:rPr>
        <w:t>Two large scale reviews of the research literature, one of 22 studies (Lindsay et al., 2016) and one of 40 studies (Lindsay &amp; Munson, 2018), have reported on the evidence of a range of outcomes for youth with disability (under 25 y</w:t>
      </w:r>
      <w:r w:rsidR="008C7516">
        <w:rPr>
          <w:rFonts w:asciiTheme="minorHAnsi" w:hAnsiTheme="minorHAnsi" w:cstheme="minorHAnsi"/>
          <w:sz w:val="21"/>
          <w:szCs w:val="21"/>
        </w:rPr>
        <w:t>ea</w:t>
      </w:r>
      <w:r w:rsidRPr="00723517">
        <w:rPr>
          <w:rFonts w:asciiTheme="minorHAnsi" w:hAnsiTheme="minorHAnsi" w:cstheme="minorHAnsi"/>
          <w:sz w:val="21"/>
          <w:szCs w:val="21"/>
        </w:rPr>
        <w:t>rs) related to mentoring programs. These reviews focused on mentoring programs supporting employment or transition to employment and post school education for people with disability (including intellectual disability), and found the following outcomes:</w:t>
      </w:r>
    </w:p>
    <w:p w14:paraId="2F4B00DC" w14:textId="77777777" w:rsidR="00723517" w:rsidRPr="00723517" w:rsidRDefault="00723517" w:rsidP="009B5AA2">
      <w:pPr>
        <w:pStyle w:val="Default"/>
        <w:numPr>
          <w:ilvl w:val="0"/>
          <w:numId w:val="52"/>
        </w:numPr>
        <w:spacing w:before="120" w:line="276" w:lineRule="auto"/>
        <w:rPr>
          <w:rFonts w:asciiTheme="minorHAnsi" w:hAnsiTheme="minorHAnsi" w:cstheme="minorHAnsi"/>
          <w:sz w:val="21"/>
          <w:szCs w:val="21"/>
        </w:rPr>
      </w:pPr>
      <w:r w:rsidRPr="00723517">
        <w:rPr>
          <w:rFonts w:asciiTheme="minorHAnsi" w:hAnsiTheme="minorHAnsi" w:cstheme="minorHAnsi"/>
          <w:sz w:val="21"/>
          <w:szCs w:val="21"/>
        </w:rPr>
        <w:t xml:space="preserve">increased </w:t>
      </w:r>
      <w:proofErr w:type="spellStart"/>
      <w:r w:rsidRPr="00723517">
        <w:rPr>
          <w:rFonts w:asciiTheme="minorHAnsi" w:hAnsiTheme="minorHAnsi" w:cstheme="minorHAnsi"/>
          <w:sz w:val="21"/>
          <w:szCs w:val="21"/>
        </w:rPr>
        <w:t>self determination</w:t>
      </w:r>
      <w:proofErr w:type="spellEnd"/>
      <w:r w:rsidRPr="00723517">
        <w:rPr>
          <w:rFonts w:asciiTheme="minorHAnsi" w:hAnsiTheme="minorHAnsi" w:cstheme="minorHAnsi"/>
          <w:sz w:val="21"/>
          <w:szCs w:val="21"/>
        </w:rPr>
        <w:t xml:space="preserve"> and empowerment </w:t>
      </w:r>
    </w:p>
    <w:p w14:paraId="6B6CC6A2" w14:textId="77777777" w:rsidR="00723517" w:rsidRPr="00723517" w:rsidRDefault="00723517" w:rsidP="009B5AA2">
      <w:pPr>
        <w:pStyle w:val="Default"/>
        <w:numPr>
          <w:ilvl w:val="0"/>
          <w:numId w:val="52"/>
        </w:numPr>
        <w:spacing w:before="120" w:line="276" w:lineRule="auto"/>
        <w:rPr>
          <w:rFonts w:asciiTheme="minorHAnsi" w:hAnsiTheme="minorHAnsi" w:cstheme="minorHAnsi"/>
          <w:sz w:val="21"/>
          <w:szCs w:val="21"/>
        </w:rPr>
      </w:pPr>
      <w:r w:rsidRPr="00723517">
        <w:rPr>
          <w:rFonts w:asciiTheme="minorHAnsi" w:hAnsiTheme="minorHAnsi" w:cstheme="minorHAnsi"/>
          <w:sz w:val="21"/>
          <w:szCs w:val="21"/>
        </w:rPr>
        <w:t>increased decision making and problem solving</w:t>
      </w:r>
    </w:p>
    <w:p w14:paraId="470D1AB7" w14:textId="77777777" w:rsidR="00723517" w:rsidRPr="00723517" w:rsidRDefault="00723517" w:rsidP="009B5AA2">
      <w:pPr>
        <w:pStyle w:val="Default"/>
        <w:numPr>
          <w:ilvl w:val="0"/>
          <w:numId w:val="52"/>
        </w:numPr>
        <w:spacing w:before="120" w:line="276" w:lineRule="auto"/>
        <w:rPr>
          <w:rFonts w:asciiTheme="minorHAnsi" w:hAnsiTheme="minorHAnsi" w:cstheme="minorHAnsi"/>
          <w:sz w:val="21"/>
          <w:szCs w:val="21"/>
        </w:rPr>
      </w:pPr>
      <w:r w:rsidRPr="00723517">
        <w:rPr>
          <w:rFonts w:asciiTheme="minorHAnsi" w:hAnsiTheme="minorHAnsi" w:cstheme="minorHAnsi"/>
          <w:sz w:val="21"/>
          <w:szCs w:val="21"/>
        </w:rPr>
        <w:t>increased social skills and independence</w:t>
      </w:r>
    </w:p>
    <w:p w14:paraId="5CC6C940" w14:textId="77777777" w:rsidR="00723517" w:rsidRPr="00723517" w:rsidRDefault="00723517" w:rsidP="009B5AA2">
      <w:pPr>
        <w:pStyle w:val="Default"/>
        <w:numPr>
          <w:ilvl w:val="0"/>
          <w:numId w:val="52"/>
        </w:numPr>
        <w:spacing w:before="120" w:line="276" w:lineRule="auto"/>
        <w:rPr>
          <w:rFonts w:asciiTheme="minorHAnsi" w:hAnsiTheme="minorHAnsi" w:cstheme="minorHAnsi"/>
          <w:sz w:val="21"/>
          <w:szCs w:val="21"/>
        </w:rPr>
      </w:pPr>
      <w:r w:rsidRPr="00723517">
        <w:rPr>
          <w:rFonts w:asciiTheme="minorHAnsi" w:hAnsiTheme="minorHAnsi" w:cstheme="minorHAnsi"/>
          <w:sz w:val="21"/>
          <w:szCs w:val="21"/>
        </w:rPr>
        <w:t>increased knowledge related to transition to employment and post-school education</w:t>
      </w:r>
    </w:p>
    <w:p w14:paraId="5123963C" w14:textId="77777777" w:rsidR="00723517" w:rsidRPr="00723517" w:rsidRDefault="00723517" w:rsidP="009B5AA2">
      <w:pPr>
        <w:pStyle w:val="Default"/>
        <w:numPr>
          <w:ilvl w:val="0"/>
          <w:numId w:val="52"/>
        </w:numPr>
        <w:spacing w:before="120" w:line="276" w:lineRule="auto"/>
        <w:rPr>
          <w:rFonts w:asciiTheme="minorHAnsi" w:hAnsiTheme="minorHAnsi" w:cstheme="minorHAnsi"/>
          <w:sz w:val="21"/>
          <w:szCs w:val="21"/>
        </w:rPr>
      </w:pPr>
      <w:r w:rsidRPr="00723517">
        <w:rPr>
          <w:rFonts w:asciiTheme="minorHAnsi" w:hAnsiTheme="minorHAnsi" w:cstheme="minorHAnsi"/>
          <w:sz w:val="21"/>
          <w:szCs w:val="21"/>
        </w:rPr>
        <w:t>increased academic and career development</w:t>
      </w:r>
    </w:p>
    <w:p w14:paraId="1303B308" w14:textId="080FCE52" w:rsidR="00723517" w:rsidRPr="00F87741" w:rsidRDefault="00723517" w:rsidP="009B5AA2">
      <w:pPr>
        <w:pStyle w:val="Default"/>
        <w:numPr>
          <w:ilvl w:val="0"/>
          <w:numId w:val="52"/>
        </w:numPr>
        <w:spacing w:before="120" w:line="276" w:lineRule="auto"/>
        <w:rPr>
          <w:rFonts w:asciiTheme="minorHAnsi" w:hAnsiTheme="minorHAnsi" w:cstheme="minorHAnsi"/>
          <w:sz w:val="21"/>
          <w:szCs w:val="21"/>
        </w:rPr>
      </w:pPr>
      <w:r w:rsidRPr="00723517">
        <w:rPr>
          <w:rFonts w:asciiTheme="minorHAnsi" w:hAnsiTheme="minorHAnsi" w:cstheme="minorHAnsi"/>
          <w:sz w:val="21"/>
          <w:szCs w:val="21"/>
        </w:rPr>
        <w:t>increased psychosocial health, quality of life and protective factors (Lindsay et al., 2016; Lindsay &amp; Munson, 2018).</w:t>
      </w:r>
    </w:p>
    <w:p w14:paraId="34B3E1C6" w14:textId="31A4A5CD" w:rsidR="00723517" w:rsidRPr="00723517" w:rsidRDefault="00723517" w:rsidP="009B5AA2">
      <w:pPr>
        <w:pStyle w:val="Default"/>
        <w:spacing w:before="120" w:line="276" w:lineRule="auto"/>
        <w:rPr>
          <w:rFonts w:asciiTheme="minorHAnsi" w:hAnsiTheme="minorHAnsi" w:cstheme="minorHAnsi"/>
          <w:sz w:val="21"/>
          <w:szCs w:val="21"/>
        </w:rPr>
      </w:pPr>
      <w:r w:rsidRPr="00723517">
        <w:rPr>
          <w:rFonts w:asciiTheme="minorHAnsi" w:hAnsiTheme="minorHAnsi" w:cstheme="minorHAnsi"/>
          <w:sz w:val="21"/>
          <w:szCs w:val="21"/>
        </w:rPr>
        <w:t>Overall, Lindsay et al. (2016) concluded that:</w:t>
      </w:r>
    </w:p>
    <w:p w14:paraId="57F542C1" w14:textId="6C012162" w:rsidR="00723517" w:rsidRPr="00723517" w:rsidRDefault="00723517" w:rsidP="009B5AA2">
      <w:pPr>
        <w:spacing w:line="276" w:lineRule="auto"/>
        <w:ind w:left="450"/>
        <w:rPr>
          <w:rFonts w:asciiTheme="minorHAnsi" w:hAnsiTheme="minorHAnsi" w:cstheme="minorHAnsi"/>
          <w:szCs w:val="21"/>
        </w:rPr>
      </w:pPr>
      <w:r w:rsidRPr="00723517">
        <w:rPr>
          <w:rFonts w:asciiTheme="minorHAnsi" w:hAnsiTheme="minorHAnsi" w:cstheme="minorHAnsi"/>
          <w:szCs w:val="21"/>
        </w:rPr>
        <w:t>Consistent evidence suggests that effective mentorship interventions can also have benefits for youth with disabilities, in terms of job training, educational attainment, career supports, social skills, self-esteem, attendance, and work ethic (p. 1330)</w:t>
      </w:r>
      <w:r w:rsidR="0011617C">
        <w:rPr>
          <w:rFonts w:asciiTheme="minorHAnsi" w:hAnsiTheme="minorHAnsi" w:cstheme="minorHAnsi"/>
          <w:szCs w:val="21"/>
        </w:rPr>
        <w:t>.</w:t>
      </w:r>
    </w:p>
    <w:p w14:paraId="770EBE73" w14:textId="2CF651B0" w:rsidR="00723517" w:rsidRPr="00723517" w:rsidRDefault="00723517" w:rsidP="009B5AA2">
      <w:pPr>
        <w:spacing w:line="276" w:lineRule="auto"/>
        <w:rPr>
          <w:rFonts w:asciiTheme="minorHAnsi" w:hAnsiTheme="minorHAnsi" w:cstheme="minorHAnsi"/>
          <w:szCs w:val="21"/>
        </w:rPr>
      </w:pPr>
      <w:r w:rsidRPr="00723517">
        <w:rPr>
          <w:rFonts w:asciiTheme="minorHAnsi" w:hAnsiTheme="minorHAnsi" w:cstheme="minorHAnsi"/>
          <w:szCs w:val="21"/>
        </w:rPr>
        <w:t>Mentoring programs can also have outcomes for mentors, including educators and employers, in relation to increasing knowledge of a person’s with disability’s strengths and skills, and decreasing stigma and prejudice (Lindsay et al.</w:t>
      </w:r>
      <w:r w:rsidR="00693D48">
        <w:rPr>
          <w:rFonts w:asciiTheme="minorHAnsi" w:hAnsiTheme="minorHAnsi" w:cstheme="minorHAnsi"/>
          <w:szCs w:val="21"/>
        </w:rPr>
        <w:t>,</w:t>
      </w:r>
      <w:r w:rsidRPr="00723517">
        <w:rPr>
          <w:rFonts w:asciiTheme="minorHAnsi" w:hAnsiTheme="minorHAnsi" w:cstheme="minorHAnsi"/>
          <w:szCs w:val="21"/>
        </w:rPr>
        <w:t xml:space="preserve"> 2016).</w:t>
      </w:r>
    </w:p>
    <w:p w14:paraId="0BAD47E7" w14:textId="77777777" w:rsidR="00723517" w:rsidRDefault="00723517" w:rsidP="00CE427B">
      <w:pPr>
        <w:pStyle w:val="Heading2"/>
        <w:spacing w:line="276" w:lineRule="auto"/>
      </w:pPr>
      <w:bookmarkStart w:id="131" w:name="_Toc49417957"/>
      <w:r>
        <w:t>Key ingredients of success</w:t>
      </w:r>
      <w:bookmarkEnd w:id="131"/>
    </w:p>
    <w:p w14:paraId="11AC21CB" w14:textId="77777777" w:rsidR="00723517" w:rsidRPr="00D51466" w:rsidRDefault="00723517" w:rsidP="00D51466">
      <w:pPr>
        <w:pStyle w:val="Default"/>
        <w:spacing w:before="120" w:line="276" w:lineRule="auto"/>
        <w:rPr>
          <w:rFonts w:asciiTheme="minorHAnsi" w:hAnsiTheme="minorHAnsi" w:cstheme="minorHAnsi"/>
          <w:sz w:val="21"/>
          <w:szCs w:val="21"/>
        </w:rPr>
      </w:pPr>
      <w:r w:rsidRPr="00D51466">
        <w:rPr>
          <w:rFonts w:asciiTheme="minorHAnsi" w:hAnsiTheme="minorHAnsi" w:cstheme="minorHAnsi"/>
          <w:sz w:val="21"/>
          <w:szCs w:val="21"/>
        </w:rPr>
        <w:t>A range of ingredients have been found to be associated with outcomes of mentoring:</w:t>
      </w:r>
    </w:p>
    <w:p w14:paraId="1399170E" w14:textId="026A8E63" w:rsidR="00723517" w:rsidRPr="00D51466" w:rsidRDefault="00723517" w:rsidP="00D51466">
      <w:pPr>
        <w:pStyle w:val="Default"/>
        <w:numPr>
          <w:ilvl w:val="0"/>
          <w:numId w:val="53"/>
        </w:numPr>
        <w:spacing w:before="120" w:line="276" w:lineRule="auto"/>
        <w:rPr>
          <w:rFonts w:asciiTheme="minorHAnsi" w:hAnsiTheme="minorHAnsi" w:cstheme="minorHAnsi"/>
          <w:sz w:val="21"/>
          <w:szCs w:val="21"/>
        </w:rPr>
      </w:pPr>
      <w:r w:rsidRPr="00D51466">
        <w:rPr>
          <w:rFonts w:asciiTheme="minorHAnsi" w:hAnsiTheme="minorHAnsi" w:cstheme="minorHAnsi"/>
          <w:sz w:val="21"/>
          <w:szCs w:val="21"/>
        </w:rPr>
        <w:t>Programs with a duration of 6 months or more, enabling strong relationships between mentors and mentees (Lindsay et al.</w:t>
      </w:r>
      <w:r w:rsidR="00693D48" w:rsidRPr="00D51466">
        <w:rPr>
          <w:rFonts w:asciiTheme="minorHAnsi" w:hAnsiTheme="minorHAnsi" w:cstheme="minorHAnsi"/>
          <w:sz w:val="21"/>
          <w:szCs w:val="21"/>
        </w:rPr>
        <w:t>,</w:t>
      </w:r>
      <w:r w:rsidRPr="00D51466">
        <w:rPr>
          <w:rFonts w:asciiTheme="minorHAnsi" w:hAnsiTheme="minorHAnsi" w:cstheme="minorHAnsi"/>
          <w:sz w:val="21"/>
          <w:szCs w:val="21"/>
        </w:rPr>
        <w:t xml:space="preserve"> 2016)</w:t>
      </w:r>
      <w:r w:rsidR="0011617C">
        <w:rPr>
          <w:rFonts w:asciiTheme="minorHAnsi" w:hAnsiTheme="minorHAnsi" w:cstheme="minorHAnsi"/>
          <w:sz w:val="21"/>
          <w:szCs w:val="21"/>
        </w:rPr>
        <w:t>;</w:t>
      </w:r>
    </w:p>
    <w:p w14:paraId="7316314D" w14:textId="4CE52117" w:rsidR="00723517" w:rsidRPr="00D51466" w:rsidRDefault="00723517" w:rsidP="00D51466">
      <w:pPr>
        <w:pStyle w:val="Default"/>
        <w:numPr>
          <w:ilvl w:val="0"/>
          <w:numId w:val="53"/>
        </w:numPr>
        <w:spacing w:before="120" w:line="276" w:lineRule="auto"/>
        <w:rPr>
          <w:rFonts w:asciiTheme="minorHAnsi" w:hAnsiTheme="minorHAnsi" w:cstheme="minorHAnsi"/>
          <w:sz w:val="21"/>
          <w:szCs w:val="21"/>
        </w:rPr>
      </w:pPr>
      <w:r w:rsidRPr="00D51466">
        <w:rPr>
          <w:rFonts w:asciiTheme="minorHAnsi" w:hAnsiTheme="minorHAnsi" w:cstheme="minorHAnsi"/>
          <w:sz w:val="21"/>
          <w:szCs w:val="21"/>
        </w:rPr>
        <w:t xml:space="preserve">Structured programs with a planned curriculum rather than </w:t>
      </w:r>
      <w:proofErr w:type="spellStart"/>
      <w:r w:rsidRPr="00D51466">
        <w:rPr>
          <w:rFonts w:asciiTheme="minorHAnsi" w:hAnsiTheme="minorHAnsi" w:cstheme="minorHAnsi"/>
          <w:sz w:val="21"/>
          <w:szCs w:val="21"/>
        </w:rPr>
        <w:t>individuali</w:t>
      </w:r>
      <w:r w:rsidR="00131ED2" w:rsidRPr="00D51466">
        <w:rPr>
          <w:rFonts w:asciiTheme="minorHAnsi" w:hAnsiTheme="minorHAnsi" w:cstheme="minorHAnsi"/>
          <w:sz w:val="21"/>
          <w:szCs w:val="21"/>
        </w:rPr>
        <w:t>s</w:t>
      </w:r>
      <w:r w:rsidRPr="00D51466">
        <w:rPr>
          <w:rFonts w:asciiTheme="minorHAnsi" w:hAnsiTheme="minorHAnsi" w:cstheme="minorHAnsi"/>
          <w:sz w:val="21"/>
          <w:szCs w:val="21"/>
        </w:rPr>
        <w:t>ed</w:t>
      </w:r>
      <w:proofErr w:type="spellEnd"/>
      <w:r w:rsidRPr="00D51466">
        <w:rPr>
          <w:rFonts w:asciiTheme="minorHAnsi" w:hAnsiTheme="minorHAnsi" w:cstheme="minorHAnsi"/>
          <w:sz w:val="21"/>
          <w:szCs w:val="21"/>
        </w:rPr>
        <w:t xml:space="preserve"> (Lindsay et al.</w:t>
      </w:r>
      <w:r w:rsidR="00693D48" w:rsidRPr="00D51466">
        <w:rPr>
          <w:rFonts w:asciiTheme="minorHAnsi" w:hAnsiTheme="minorHAnsi" w:cstheme="minorHAnsi"/>
          <w:sz w:val="21"/>
          <w:szCs w:val="21"/>
        </w:rPr>
        <w:t>,</w:t>
      </w:r>
      <w:r w:rsidRPr="00D51466">
        <w:rPr>
          <w:rFonts w:asciiTheme="minorHAnsi" w:hAnsiTheme="minorHAnsi" w:cstheme="minorHAnsi"/>
          <w:sz w:val="21"/>
          <w:szCs w:val="21"/>
        </w:rPr>
        <w:t xml:space="preserve"> 2016)</w:t>
      </w:r>
      <w:r w:rsidR="0011617C">
        <w:rPr>
          <w:rFonts w:asciiTheme="minorHAnsi" w:hAnsiTheme="minorHAnsi" w:cstheme="minorHAnsi"/>
          <w:sz w:val="21"/>
          <w:szCs w:val="21"/>
        </w:rPr>
        <w:t>;</w:t>
      </w:r>
    </w:p>
    <w:p w14:paraId="356E402C" w14:textId="024CDA33" w:rsidR="00723517" w:rsidRPr="00D51466" w:rsidRDefault="00723517" w:rsidP="00D51466">
      <w:pPr>
        <w:pStyle w:val="Default"/>
        <w:numPr>
          <w:ilvl w:val="0"/>
          <w:numId w:val="53"/>
        </w:numPr>
        <w:spacing w:before="120" w:line="276" w:lineRule="auto"/>
        <w:rPr>
          <w:rFonts w:asciiTheme="minorHAnsi" w:hAnsiTheme="minorHAnsi" w:cstheme="minorHAnsi"/>
          <w:sz w:val="21"/>
          <w:szCs w:val="21"/>
        </w:rPr>
      </w:pPr>
      <w:r w:rsidRPr="00D51466">
        <w:rPr>
          <w:rFonts w:asciiTheme="minorHAnsi" w:hAnsiTheme="minorHAnsi" w:cstheme="minorHAnsi"/>
          <w:sz w:val="21"/>
          <w:szCs w:val="21"/>
        </w:rPr>
        <w:t>Paid coordinator responsible for mentor training, monitoring the implementation (Lindsay et al.</w:t>
      </w:r>
      <w:r w:rsidR="00693D48" w:rsidRPr="00D51466">
        <w:rPr>
          <w:rFonts w:asciiTheme="minorHAnsi" w:hAnsiTheme="minorHAnsi" w:cstheme="minorHAnsi"/>
          <w:sz w:val="21"/>
          <w:szCs w:val="21"/>
        </w:rPr>
        <w:t>,</w:t>
      </w:r>
      <w:r w:rsidRPr="00D51466">
        <w:rPr>
          <w:rFonts w:asciiTheme="minorHAnsi" w:hAnsiTheme="minorHAnsi" w:cstheme="minorHAnsi"/>
          <w:sz w:val="21"/>
          <w:szCs w:val="21"/>
        </w:rPr>
        <w:t xml:space="preserve"> 2016) and supervision of mentors (Kramer et al.</w:t>
      </w:r>
      <w:r w:rsidR="00693D48" w:rsidRPr="00D51466">
        <w:rPr>
          <w:rFonts w:asciiTheme="minorHAnsi" w:hAnsiTheme="minorHAnsi" w:cstheme="minorHAnsi"/>
          <w:sz w:val="21"/>
          <w:szCs w:val="21"/>
        </w:rPr>
        <w:t>,</w:t>
      </w:r>
      <w:r w:rsidRPr="00D51466">
        <w:rPr>
          <w:rFonts w:asciiTheme="minorHAnsi" w:hAnsiTheme="minorHAnsi" w:cstheme="minorHAnsi"/>
          <w:sz w:val="21"/>
          <w:szCs w:val="21"/>
        </w:rPr>
        <w:t xml:space="preserve"> 2018)</w:t>
      </w:r>
      <w:r w:rsidR="0011617C">
        <w:rPr>
          <w:rFonts w:asciiTheme="minorHAnsi" w:hAnsiTheme="minorHAnsi" w:cstheme="minorHAnsi"/>
          <w:sz w:val="21"/>
          <w:szCs w:val="21"/>
        </w:rPr>
        <w:t>;</w:t>
      </w:r>
    </w:p>
    <w:p w14:paraId="61A0B2B9" w14:textId="595B7D90" w:rsidR="00723517" w:rsidRPr="00D51466" w:rsidRDefault="00723517" w:rsidP="00D51466">
      <w:pPr>
        <w:pStyle w:val="Default"/>
        <w:numPr>
          <w:ilvl w:val="0"/>
          <w:numId w:val="53"/>
        </w:numPr>
        <w:spacing w:before="120" w:line="276" w:lineRule="auto"/>
        <w:rPr>
          <w:rFonts w:asciiTheme="minorHAnsi" w:hAnsiTheme="minorHAnsi" w:cstheme="minorHAnsi"/>
          <w:sz w:val="21"/>
          <w:szCs w:val="21"/>
        </w:rPr>
      </w:pPr>
      <w:r w:rsidRPr="00D51466">
        <w:rPr>
          <w:rFonts w:asciiTheme="minorHAnsi" w:hAnsiTheme="minorHAnsi" w:cstheme="minorHAnsi"/>
          <w:sz w:val="21"/>
          <w:szCs w:val="21"/>
        </w:rPr>
        <w:t>Group based or mixed formats (Lindsay et al.</w:t>
      </w:r>
      <w:r w:rsidR="00693D48" w:rsidRPr="00D51466">
        <w:rPr>
          <w:rFonts w:asciiTheme="minorHAnsi" w:hAnsiTheme="minorHAnsi" w:cstheme="minorHAnsi"/>
          <w:sz w:val="21"/>
          <w:szCs w:val="21"/>
        </w:rPr>
        <w:t>,</w:t>
      </w:r>
      <w:r w:rsidRPr="00D51466">
        <w:rPr>
          <w:rFonts w:asciiTheme="minorHAnsi" w:hAnsiTheme="minorHAnsi" w:cstheme="minorHAnsi"/>
          <w:sz w:val="21"/>
          <w:szCs w:val="21"/>
        </w:rPr>
        <w:t xml:space="preserve"> 2016)</w:t>
      </w:r>
      <w:r w:rsidR="0011617C">
        <w:rPr>
          <w:rFonts w:asciiTheme="minorHAnsi" w:hAnsiTheme="minorHAnsi" w:cstheme="minorHAnsi"/>
          <w:sz w:val="21"/>
          <w:szCs w:val="21"/>
        </w:rPr>
        <w:t>;</w:t>
      </w:r>
    </w:p>
    <w:p w14:paraId="6CF53BC5" w14:textId="25ECEF82" w:rsidR="00723517" w:rsidRPr="00D51466" w:rsidRDefault="00723517" w:rsidP="00D51466">
      <w:pPr>
        <w:pStyle w:val="Default"/>
        <w:numPr>
          <w:ilvl w:val="0"/>
          <w:numId w:val="53"/>
        </w:numPr>
        <w:spacing w:before="120" w:line="276" w:lineRule="auto"/>
        <w:rPr>
          <w:rFonts w:asciiTheme="minorHAnsi" w:hAnsiTheme="minorHAnsi" w:cstheme="minorHAnsi"/>
          <w:sz w:val="21"/>
          <w:szCs w:val="21"/>
        </w:rPr>
      </w:pPr>
      <w:r w:rsidRPr="00D51466">
        <w:rPr>
          <w:rFonts w:asciiTheme="minorHAnsi" w:hAnsiTheme="minorHAnsi" w:cstheme="minorHAnsi"/>
          <w:sz w:val="21"/>
          <w:szCs w:val="21"/>
        </w:rPr>
        <w:t>Clear expectations for duration and frequency of contact (Kramer et al., 2018)</w:t>
      </w:r>
      <w:r w:rsidR="0011617C">
        <w:rPr>
          <w:rFonts w:asciiTheme="minorHAnsi" w:hAnsiTheme="minorHAnsi" w:cstheme="minorHAnsi"/>
          <w:sz w:val="21"/>
          <w:szCs w:val="21"/>
        </w:rPr>
        <w:t>;</w:t>
      </w:r>
    </w:p>
    <w:p w14:paraId="1702E93C" w14:textId="0DAD11D1" w:rsidR="00723517" w:rsidRPr="00D51466" w:rsidRDefault="00723517" w:rsidP="00D51466">
      <w:pPr>
        <w:pStyle w:val="Default"/>
        <w:numPr>
          <w:ilvl w:val="0"/>
          <w:numId w:val="53"/>
        </w:numPr>
        <w:spacing w:before="120" w:line="276" w:lineRule="auto"/>
        <w:rPr>
          <w:rFonts w:asciiTheme="minorHAnsi" w:hAnsiTheme="minorHAnsi" w:cstheme="minorHAnsi"/>
          <w:sz w:val="21"/>
          <w:szCs w:val="21"/>
        </w:rPr>
      </w:pPr>
      <w:r w:rsidRPr="00D51466">
        <w:rPr>
          <w:rFonts w:asciiTheme="minorHAnsi" w:hAnsiTheme="minorHAnsi" w:cstheme="minorHAnsi"/>
          <w:sz w:val="21"/>
          <w:szCs w:val="21"/>
        </w:rPr>
        <w:lastRenderedPageBreak/>
        <w:t xml:space="preserve">Mentor characteristics that </w:t>
      </w:r>
      <w:proofErr w:type="gramStart"/>
      <w:r w:rsidRPr="00D51466">
        <w:rPr>
          <w:rFonts w:asciiTheme="minorHAnsi" w:hAnsiTheme="minorHAnsi" w:cstheme="minorHAnsi"/>
          <w:sz w:val="21"/>
          <w:szCs w:val="21"/>
        </w:rPr>
        <w:t>include:</w:t>
      </w:r>
      <w:proofErr w:type="gramEnd"/>
      <w:r w:rsidRPr="00D51466">
        <w:rPr>
          <w:rFonts w:asciiTheme="minorHAnsi" w:hAnsiTheme="minorHAnsi" w:cstheme="minorHAnsi"/>
          <w:sz w:val="21"/>
          <w:szCs w:val="21"/>
        </w:rPr>
        <w:t xml:space="preserve"> consistency, dependability, </w:t>
      </w:r>
      <w:r w:rsidR="001D1897">
        <w:rPr>
          <w:rFonts w:asciiTheme="minorHAnsi" w:hAnsiTheme="minorHAnsi" w:cstheme="minorHAnsi"/>
          <w:sz w:val="21"/>
          <w:szCs w:val="21"/>
        </w:rPr>
        <w:t>“</w:t>
      </w:r>
      <w:r w:rsidRPr="00D51466">
        <w:rPr>
          <w:rFonts w:asciiTheme="minorHAnsi" w:hAnsiTheme="minorHAnsi" w:cstheme="minorHAnsi"/>
          <w:sz w:val="21"/>
          <w:szCs w:val="21"/>
        </w:rPr>
        <w:t xml:space="preserve">interest in supporting a mentee, respect for the mentee's viewpoint and willingness to seek and utilize support from </w:t>
      </w:r>
      <w:proofErr w:type="spellStart"/>
      <w:r w:rsidRPr="00D51466">
        <w:rPr>
          <w:rFonts w:asciiTheme="minorHAnsi" w:hAnsiTheme="minorHAnsi" w:cstheme="minorHAnsi"/>
          <w:sz w:val="21"/>
          <w:szCs w:val="21"/>
        </w:rPr>
        <w:t>programme</w:t>
      </w:r>
      <w:proofErr w:type="spellEnd"/>
      <w:r w:rsidRPr="00D51466">
        <w:rPr>
          <w:rFonts w:asciiTheme="minorHAnsi" w:hAnsiTheme="minorHAnsi" w:cstheme="minorHAnsi"/>
          <w:sz w:val="21"/>
          <w:szCs w:val="21"/>
        </w:rPr>
        <w:t xml:space="preserve"> staff</w:t>
      </w:r>
      <w:r w:rsidR="001D1897">
        <w:rPr>
          <w:rFonts w:asciiTheme="minorHAnsi" w:hAnsiTheme="minorHAnsi" w:cstheme="minorHAnsi"/>
          <w:sz w:val="21"/>
          <w:szCs w:val="21"/>
        </w:rPr>
        <w:t>”</w:t>
      </w:r>
      <w:r w:rsidRPr="00D51466">
        <w:rPr>
          <w:rFonts w:asciiTheme="minorHAnsi" w:hAnsiTheme="minorHAnsi" w:cstheme="minorHAnsi"/>
          <w:sz w:val="21"/>
          <w:szCs w:val="21"/>
        </w:rPr>
        <w:t xml:space="preserve"> (Kramer et al., 2018, p.</w:t>
      </w:r>
      <w:r w:rsidR="00693D48" w:rsidRPr="00D51466">
        <w:rPr>
          <w:rFonts w:asciiTheme="minorHAnsi" w:hAnsiTheme="minorHAnsi" w:cstheme="minorHAnsi"/>
          <w:sz w:val="21"/>
          <w:szCs w:val="21"/>
        </w:rPr>
        <w:t xml:space="preserve"> </w:t>
      </w:r>
      <w:r w:rsidRPr="00D51466">
        <w:rPr>
          <w:rFonts w:asciiTheme="minorHAnsi" w:hAnsiTheme="minorHAnsi" w:cstheme="minorHAnsi"/>
          <w:sz w:val="21"/>
          <w:szCs w:val="21"/>
        </w:rPr>
        <w:t>120)</w:t>
      </w:r>
      <w:r w:rsidR="0011617C">
        <w:rPr>
          <w:rFonts w:asciiTheme="minorHAnsi" w:hAnsiTheme="minorHAnsi" w:cstheme="minorHAnsi"/>
          <w:sz w:val="21"/>
          <w:szCs w:val="21"/>
        </w:rPr>
        <w:t>;</w:t>
      </w:r>
    </w:p>
    <w:p w14:paraId="65BA4F3A" w14:textId="43912C42" w:rsidR="00723517" w:rsidRPr="00D51466" w:rsidRDefault="00723517" w:rsidP="00D51466">
      <w:pPr>
        <w:pStyle w:val="Default"/>
        <w:numPr>
          <w:ilvl w:val="0"/>
          <w:numId w:val="53"/>
        </w:numPr>
        <w:spacing w:before="120" w:line="276" w:lineRule="auto"/>
        <w:rPr>
          <w:rFonts w:asciiTheme="minorHAnsi" w:hAnsiTheme="minorHAnsi" w:cstheme="minorHAnsi"/>
          <w:sz w:val="21"/>
          <w:szCs w:val="21"/>
        </w:rPr>
      </w:pPr>
      <w:r w:rsidRPr="00D51466">
        <w:rPr>
          <w:rFonts w:asciiTheme="minorHAnsi" w:hAnsiTheme="minorHAnsi" w:cstheme="minorHAnsi"/>
          <w:sz w:val="21"/>
          <w:szCs w:val="21"/>
        </w:rPr>
        <w:t>Alignment between mentor’s experiences and goals of the mentoring program (Kramer et al., 2018)</w:t>
      </w:r>
      <w:r w:rsidR="0011617C">
        <w:rPr>
          <w:rFonts w:asciiTheme="minorHAnsi" w:hAnsiTheme="minorHAnsi" w:cstheme="minorHAnsi"/>
          <w:sz w:val="21"/>
          <w:szCs w:val="21"/>
        </w:rPr>
        <w:t>;</w:t>
      </w:r>
    </w:p>
    <w:p w14:paraId="377E5942" w14:textId="335BB5B2" w:rsidR="00723517" w:rsidRPr="00D51466" w:rsidRDefault="00723517" w:rsidP="00D51466">
      <w:pPr>
        <w:pStyle w:val="Default"/>
        <w:numPr>
          <w:ilvl w:val="0"/>
          <w:numId w:val="53"/>
        </w:numPr>
        <w:spacing w:before="120" w:line="276" w:lineRule="auto"/>
        <w:rPr>
          <w:rFonts w:asciiTheme="minorHAnsi" w:hAnsiTheme="minorHAnsi" w:cstheme="minorHAnsi"/>
          <w:sz w:val="21"/>
          <w:szCs w:val="21"/>
        </w:rPr>
      </w:pPr>
      <w:r w:rsidRPr="00D51466">
        <w:rPr>
          <w:rFonts w:asciiTheme="minorHAnsi" w:hAnsiTheme="minorHAnsi" w:cstheme="minorHAnsi"/>
          <w:sz w:val="21"/>
          <w:szCs w:val="21"/>
        </w:rPr>
        <w:t>Provision of peer mentor training to build mentoring skills and clarity around mentor-mentee interactions</w:t>
      </w:r>
      <w:r w:rsidR="0011617C">
        <w:rPr>
          <w:rFonts w:asciiTheme="minorHAnsi" w:hAnsiTheme="minorHAnsi" w:cstheme="minorHAnsi"/>
          <w:sz w:val="21"/>
          <w:szCs w:val="21"/>
        </w:rPr>
        <w:t>;</w:t>
      </w:r>
    </w:p>
    <w:p w14:paraId="0533161E" w14:textId="60563FB5" w:rsidR="00723517" w:rsidRPr="00D51466" w:rsidRDefault="00723517" w:rsidP="00D51466">
      <w:pPr>
        <w:pStyle w:val="Default"/>
        <w:numPr>
          <w:ilvl w:val="0"/>
          <w:numId w:val="53"/>
        </w:numPr>
        <w:spacing w:before="120" w:line="276" w:lineRule="auto"/>
        <w:rPr>
          <w:rFonts w:asciiTheme="minorHAnsi" w:hAnsiTheme="minorHAnsi" w:cstheme="minorHAnsi"/>
          <w:sz w:val="21"/>
          <w:szCs w:val="21"/>
        </w:rPr>
      </w:pPr>
      <w:r w:rsidRPr="00D51466">
        <w:rPr>
          <w:rFonts w:asciiTheme="minorHAnsi" w:hAnsiTheme="minorHAnsi" w:cstheme="minorHAnsi"/>
          <w:sz w:val="21"/>
          <w:szCs w:val="21"/>
        </w:rPr>
        <w:t>Mentees having choice over preferred communication technology (if using e-mentoring) (Kramer et al., 2018)</w:t>
      </w:r>
      <w:r w:rsidR="0011617C">
        <w:rPr>
          <w:rFonts w:asciiTheme="minorHAnsi" w:hAnsiTheme="minorHAnsi" w:cstheme="minorHAnsi"/>
          <w:sz w:val="21"/>
          <w:szCs w:val="21"/>
        </w:rPr>
        <w:t>;</w:t>
      </w:r>
    </w:p>
    <w:p w14:paraId="32DBD329" w14:textId="07A69144" w:rsidR="00723517" w:rsidRPr="00D51466" w:rsidRDefault="00723517" w:rsidP="00D51466">
      <w:pPr>
        <w:pStyle w:val="Default"/>
        <w:numPr>
          <w:ilvl w:val="0"/>
          <w:numId w:val="53"/>
        </w:numPr>
        <w:spacing w:before="120" w:line="276" w:lineRule="auto"/>
        <w:rPr>
          <w:rFonts w:asciiTheme="minorHAnsi" w:hAnsiTheme="minorHAnsi" w:cstheme="minorHAnsi"/>
          <w:sz w:val="21"/>
          <w:szCs w:val="21"/>
        </w:rPr>
      </w:pPr>
      <w:r w:rsidRPr="00D51466">
        <w:rPr>
          <w:rFonts w:asciiTheme="minorHAnsi" w:hAnsiTheme="minorHAnsi" w:cstheme="minorHAnsi"/>
          <w:sz w:val="21"/>
          <w:szCs w:val="21"/>
        </w:rPr>
        <w:t>Focus on both fostering the mentor-mentee relationship, as well as delivering the goals (content) of the program (Kramer et al., 2018).</w:t>
      </w:r>
    </w:p>
    <w:p w14:paraId="3640AA9B" w14:textId="440BD408" w:rsidR="00723517" w:rsidRPr="00D51466" w:rsidRDefault="00723517" w:rsidP="00D51466">
      <w:pPr>
        <w:spacing w:line="276" w:lineRule="auto"/>
        <w:rPr>
          <w:szCs w:val="21"/>
        </w:rPr>
      </w:pPr>
      <w:proofErr w:type="spellStart"/>
      <w:r w:rsidRPr="00D51466">
        <w:rPr>
          <w:szCs w:val="21"/>
        </w:rPr>
        <w:t>Summarising</w:t>
      </w:r>
      <w:proofErr w:type="spellEnd"/>
      <w:r w:rsidRPr="00D51466">
        <w:rPr>
          <w:szCs w:val="21"/>
        </w:rPr>
        <w:t xml:space="preserve"> the views of </w:t>
      </w:r>
      <w:proofErr w:type="gramStart"/>
      <w:r w:rsidRPr="00D51466">
        <w:rPr>
          <w:szCs w:val="21"/>
        </w:rPr>
        <w:t>a number of</w:t>
      </w:r>
      <w:proofErr w:type="gramEnd"/>
      <w:r w:rsidRPr="00D51466">
        <w:rPr>
          <w:szCs w:val="21"/>
        </w:rPr>
        <w:t xml:space="preserve"> researchers, Kramer et al. (201</w:t>
      </w:r>
      <w:r w:rsidR="0011617C">
        <w:rPr>
          <w:szCs w:val="21"/>
        </w:rPr>
        <w:t>8)</w:t>
      </w:r>
      <w:r w:rsidRPr="00D51466">
        <w:rPr>
          <w:szCs w:val="21"/>
        </w:rPr>
        <w:t xml:space="preserve"> propose that peer mentoring has particular utility for people with intellectual disability.</w:t>
      </w:r>
    </w:p>
    <w:p w14:paraId="69DDC68F" w14:textId="408C0A24" w:rsidR="00723517" w:rsidRPr="00D51466" w:rsidRDefault="00723517" w:rsidP="00D51466">
      <w:pPr>
        <w:spacing w:line="276" w:lineRule="auto"/>
        <w:ind w:left="360" w:right="360"/>
        <w:rPr>
          <w:szCs w:val="21"/>
        </w:rPr>
      </w:pPr>
      <w:r w:rsidRPr="00D51466">
        <w:rPr>
          <w:szCs w:val="21"/>
        </w:rPr>
        <w:t>Peer support and peer‐mediated interventions are increasingly used as best practice for transition‐age youth with developmental and intellectual disabilities (Kramer et al., 2018, p. 118)</w:t>
      </w:r>
    </w:p>
    <w:p w14:paraId="7C175C5F" w14:textId="38E3447A" w:rsidR="00723517" w:rsidRPr="00D51466" w:rsidRDefault="00723517" w:rsidP="00D51466">
      <w:pPr>
        <w:spacing w:line="276" w:lineRule="auto"/>
        <w:rPr>
          <w:szCs w:val="21"/>
        </w:rPr>
      </w:pPr>
      <w:r w:rsidRPr="00D51466">
        <w:rPr>
          <w:szCs w:val="21"/>
        </w:rPr>
        <w:t xml:space="preserve">In a peer mentoring program specifically designed for people with intellectual disability, researchers used two key features to support mentors with intellectual disability: a peer‐mentoring script (including visual supports) and a peer mentor supporter/supervisor who provided real-time supervision and support during mentoring sessions, as well as time to practice before sessions and debrief after them. </w:t>
      </w:r>
      <w:proofErr w:type="spellStart"/>
      <w:r w:rsidRPr="00D51466">
        <w:rPr>
          <w:szCs w:val="21"/>
        </w:rPr>
        <w:t>Customi</w:t>
      </w:r>
      <w:r w:rsidR="00131ED2" w:rsidRPr="00D51466">
        <w:rPr>
          <w:szCs w:val="21"/>
        </w:rPr>
        <w:t>s</w:t>
      </w:r>
      <w:r w:rsidRPr="00D51466">
        <w:rPr>
          <w:szCs w:val="21"/>
        </w:rPr>
        <w:t>ed</w:t>
      </w:r>
      <w:proofErr w:type="spellEnd"/>
      <w:r w:rsidRPr="00D51466">
        <w:rPr>
          <w:szCs w:val="21"/>
        </w:rPr>
        <w:t xml:space="preserve"> employment supports were also provided for mentors with intellectual disability. Overall, researchers found this approach to be successful but required high levels of resourcing (Kramer et al.</w:t>
      </w:r>
      <w:r w:rsidR="00995CBC" w:rsidRPr="00D51466">
        <w:rPr>
          <w:szCs w:val="21"/>
        </w:rPr>
        <w:t>,</w:t>
      </w:r>
      <w:r w:rsidRPr="00D51466">
        <w:rPr>
          <w:szCs w:val="21"/>
        </w:rPr>
        <w:t xml:space="preserve"> 2018). To address this high resource impost, the researchers suggest:</w:t>
      </w:r>
    </w:p>
    <w:p w14:paraId="273FB574" w14:textId="1FEFC3C8" w:rsidR="00723517" w:rsidRPr="00D51466" w:rsidRDefault="00723517" w:rsidP="00D51466">
      <w:pPr>
        <w:tabs>
          <w:tab w:val="left" w:pos="360"/>
        </w:tabs>
        <w:spacing w:line="276" w:lineRule="auto"/>
        <w:ind w:left="360"/>
        <w:rPr>
          <w:szCs w:val="21"/>
        </w:rPr>
      </w:pPr>
      <w:r w:rsidRPr="00D51466">
        <w:rPr>
          <w:szCs w:val="21"/>
        </w:rPr>
        <w:t>Community‐based organizations adopting electronic peer mentoring should consider partnerships with local colleges or vocational training institutions, as such partnerships could provide students with valuable hands‐on experience and ensure organizations have access to highly qualified personnel to serve as supervisors (Kramer et al., 2018, p.</w:t>
      </w:r>
      <w:r w:rsidR="00995CBC" w:rsidRPr="00D51466">
        <w:rPr>
          <w:szCs w:val="21"/>
        </w:rPr>
        <w:t xml:space="preserve"> </w:t>
      </w:r>
      <w:r w:rsidRPr="00D51466">
        <w:rPr>
          <w:szCs w:val="21"/>
        </w:rPr>
        <w:t>127)</w:t>
      </w:r>
      <w:r w:rsidR="0011617C">
        <w:rPr>
          <w:szCs w:val="21"/>
        </w:rPr>
        <w:t>.</w:t>
      </w:r>
    </w:p>
    <w:p w14:paraId="54AD50D7" w14:textId="275B473D" w:rsidR="00723517" w:rsidRPr="00D51466" w:rsidRDefault="00723517" w:rsidP="00D51466">
      <w:pPr>
        <w:pStyle w:val="Default"/>
        <w:spacing w:before="120" w:line="276" w:lineRule="auto"/>
        <w:rPr>
          <w:rFonts w:asciiTheme="minorHAnsi" w:hAnsiTheme="minorHAnsi" w:cstheme="minorHAnsi"/>
          <w:sz w:val="21"/>
          <w:szCs w:val="21"/>
        </w:rPr>
      </w:pPr>
      <w:r w:rsidRPr="00D51466">
        <w:rPr>
          <w:rFonts w:asciiTheme="minorHAnsi" w:hAnsiTheme="minorHAnsi" w:cstheme="minorHAnsi"/>
          <w:sz w:val="21"/>
          <w:szCs w:val="21"/>
        </w:rPr>
        <w:t>Several researchers suggest that the use of electronic peer mentoring has potential to broaden the scope and availability of peer mentoring programs (</w:t>
      </w:r>
      <w:proofErr w:type="spellStart"/>
      <w:r w:rsidRPr="00D51466">
        <w:rPr>
          <w:rFonts w:asciiTheme="minorHAnsi" w:hAnsiTheme="minorHAnsi" w:cstheme="minorHAnsi"/>
          <w:sz w:val="21"/>
          <w:szCs w:val="21"/>
        </w:rPr>
        <w:t>Cassiani</w:t>
      </w:r>
      <w:proofErr w:type="spellEnd"/>
      <w:r w:rsidR="00B2052B" w:rsidRPr="00D51466">
        <w:rPr>
          <w:rFonts w:asciiTheme="minorHAnsi" w:hAnsiTheme="minorHAnsi" w:cstheme="minorHAnsi"/>
          <w:sz w:val="21"/>
          <w:szCs w:val="21"/>
        </w:rPr>
        <w:t xml:space="preserve"> et al.</w:t>
      </w:r>
      <w:r w:rsidRPr="00D51466">
        <w:rPr>
          <w:rFonts w:asciiTheme="minorHAnsi" w:hAnsiTheme="minorHAnsi" w:cstheme="minorHAnsi"/>
          <w:sz w:val="21"/>
          <w:szCs w:val="21"/>
        </w:rPr>
        <w:t>, 20</w:t>
      </w:r>
      <w:r w:rsidR="005E440A" w:rsidRPr="00D51466">
        <w:rPr>
          <w:rFonts w:asciiTheme="minorHAnsi" w:hAnsiTheme="minorHAnsi" w:cstheme="minorHAnsi"/>
          <w:sz w:val="21"/>
          <w:szCs w:val="21"/>
        </w:rPr>
        <w:t>20</w:t>
      </w:r>
      <w:r w:rsidRPr="00D51466">
        <w:rPr>
          <w:rFonts w:asciiTheme="minorHAnsi" w:hAnsiTheme="minorHAnsi" w:cstheme="minorHAnsi"/>
          <w:sz w:val="21"/>
          <w:szCs w:val="21"/>
        </w:rPr>
        <w:t xml:space="preserve">) especially where barriers exist to accessing in-person mentoring, such as lack of transportation or personal assistance, particularly for people with intellectual disability (Kramer et al., 2018). </w:t>
      </w:r>
    </w:p>
    <w:p w14:paraId="4F2C1EAE" w14:textId="40973D01" w:rsidR="00723517" w:rsidRPr="00D51466" w:rsidRDefault="00723517" w:rsidP="00D51466">
      <w:pPr>
        <w:spacing w:line="276" w:lineRule="auto"/>
        <w:rPr>
          <w:rFonts w:cs="Times-Roman"/>
          <w:szCs w:val="21"/>
        </w:rPr>
      </w:pPr>
      <w:r w:rsidRPr="00D51466">
        <w:rPr>
          <w:rFonts w:asciiTheme="minorHAnsi" w:hAnsiTheme="minorHAnsi" w:cstheme="minorHAnsi"/>
          <w:szCs w:val="21"/>
        </w:rPr>
        <w:t xml:space="preserve">Using a different model, researchers in the UK in the Youth Supported Employment Program (YSEP) matched peers without disability (from the same school) with mentees with intellectual disability while undertaking work experience placement. This model is also known as a peer-facilitated work placement. During the placement, the mentors travelled with the mentee from home to workplace, stayed at the workplace to provide advice and </w:t>
      </w:r>
      <w:proofErr w:type="gramStart"/>
      <w:r w:rsidRPr="00D51466">
        <w:rPr>
          <w:rFonts w:asciiTheme="minorHAnsi" w:hAnsiTheme="minorHAnsi" w:cstheme="minorHAnsi"/>
          <w:szCs w:val="21"/>
        </w:rPr>
        <w:t>problem solving</w:t>
      </w:r>
      <w:proofErr w:type="gramEnd"/>
      <w:r w:rsidRPr="00D51466">
        <w:rPr>
          <w:rFonts w:asciiTheme="minorHAnsi" w:hAnsiTheme="minorHAnsi" w:cstheme="minorHAnsi"/>
          <w:szCs w:val="21"/>
        </w:rPr>
        <w:t xml:space="preserve"> support, then travelled home with mentees. While outcomes were generally positive, there is insufficient evidence to confirm the positive effect of peer mentoring on these outcomes (</w:t>
      </w:r>
      <w:proofErr w:type="spellStart"/>
      <w:r w:rsidRPr="00D51466">
        <w:rPr>
          <w:rFonts w:asciiTheme="minorHAnsi" w:hAnsiTheme="minorHAnsi" w:cstheme="minorHAnsi"/>
          <w:szCs w:val="21"/>
        </w:rPr>
        <w:t>Kaehne</w:t>
      </w:r>
      <w:proofErr w:type="spellEnd"/>
      <w:r w:rsidRPr="00D51466">
        <w:rPr>
          <w:rFonts w:asciiTheme="minorHAnsi" w:hAnsiTheme="minorHAnsi" w:cstheme="minorHAnsi"/>
          <w:szCs w:val="21"/>
        </w:rPr>
        <w:t xml:space="preserve"> &amp; Beyer, 2013).</w:t>
      </w:r>
    </w:p>
    <w:p w14:paraId="6AA1D0F3" w14:textId="77777777" w:rsidR="00723517" w:rsidRPr="00AC5ADA" w:rsidRDefault="00723517" w:rsidP="00CE427B"/>
    <w:p w14:paraId="55DF1CD1" w14:textId="77777777" w:rsidR="00767CD8" w:rsidRDefault="00767CD8" w:rsidP="00CE427B">
      <w:pPr>
        <w:autoSpaceDE w:val="0"/>
        <w:autoSpaceDN w:val="0"/>
        <w:adjustRightInd w:val="0"/>
        <w:spacing w:line="276" w:lineRule="auto"/>
        <w:rPr>
          <w:rFonts w:ascii="Times-Italic" w:hAnsi="Times-Italic" w:cs="Times-Italic"/>
          <w:i/>
          <w:iCs/>
          <w:color w:val="FF0000"/>
          <w:sz w:val="16"/>
          <w:szCs w:val="16"/>
        </w:rPr>
        <w:sectPr w:rsidR="00767CD8" w:rsidSect="000374E2">
          <w:pgSz w:w="11907" w:h="16840" w:code="9"/>
          <w:pgMar w:top="1440" w:right="1440" w:bottom="1440" w:left="1440" w:header="431" w:footer="720" w:gutter="0"/>
          <w:cols w:space="720"/>
          <w:docGrid w:linePitch="360"/>
        </w:sectPr>
      </w:pPr>
    </w:p>
    <w:p w14:paraId="05EE603B" w14:textId="0460D2CB" w:rsidR="00875BDE" w:rsidRDefault="00875BDE" w:rsidP="00CE427B">
      <w:pPr>
        <w:pStyle w:val="Heading1"/>
        <w:pBdr>
          <w:bottom w:val="single" w:sz="4" w:space="1" w:color="auto"/>
        </w:pBdr>
      </w:pPr>
      <w:bookmarkStart w:id="132" w:name="_Toc49462483"/>
      <w:r>
        <w:lastRenderedPageBreak/>
        <w:t>evidence piece 15:</w:t>
      </w:r>
      <w:bookmarkEnd w:id="132"/>
    </w:p>
    <w:p w14:paraId="7D91A122" w14:textId="5496448A" w:rsidR="00875BDE" w:rsidRDefault="00875BDE" w:rsidP="00CE427B">
      <w:pPr>
        <w:pStyle w:val="Heading1"/>
        <w:pBdr>
          <w:bottom w:val="single" w:sz="4" w:space="1" w:color="auto"/>
        </w:pBdr>
      </w:pPr>
      <w:bookmarkStart w:id="133" w:name="_Toc49462484"/>
      <w:r>
        <w:t>Microenterprises and people with intellectual disability</w:t>
      </w:r>
      <w:bookmarkEnd w:id="133"/>
    </w:p>
    <w:p w14:paraId="56DF987A" w14:textId="77777777" w:rsidR="00875BDE" w:rsidRDefault="00875BDE" w:rsidP="00D51466"/>
    <w:p w14:paraId="5AE9555D" w14:textId="77777777" w:rsidR="00875BDE" w:rsidRDefault="00875BDE" w:rsidP="00CE427B">
      <w:pPr>
        <w:pStyle w:val="Heading2"/>
        <w:spacing w:line="276" w:lineRule="auto"/>
      </w:pPr>
      <w:bookmarkStart w:id="134" w:name="_Toc49417756"/>
      <w:bookmarkStart w:id="135" w:name="_Toc49417960"/>
      <w:r>
        <w:t>What is microenterprise?</w:t>
      </w:r>
      <w:bookmarkEnd w:id="134"/>
      <w:bookmarkEnd w:id="135"/>
    </w:p>
    <w:p w14:paraId="7E99230F" w14:textId="107E01E3" w:rsidR="00875BDE" w:rsidRPr="000D6BEA" w:rsidRDefault="00875BDE" w:rsidP="000D6BEA">
      <w:pPr>
        <w:autoSpaceDE w:val="0"/>
        <w:autoSpaceDN w:val="0"/>
        <w:adjustRightInd w:val="0"/>
        <w:spacing w:line="276" w:lineRule="auto"/>
        <w:rPr>
          <w:rFonts w:asciiTheme="minorHAnsi" w:hAnsiTheme="minorHAnsi" w:cstheme="minorHAnsi"/>
          <w:szCs w:val="21"/>
        </w:rPr>
      </w:pPr>
      <w:r w:rsidRPr="000D6BEA">
        <w:rPr>
          <w:rFonts w:asciiTheme="minorHAnsi" w:hAnsiTheme="minorHAnsi" w:cstheme="minorHAnsi"/>
          <w:szCs w:val="21"/>
        </w:rPr>
        <w:t>Microenterprises are a form of creating self-employment and are sometimes called small business enterprises (SBE) or micro-businesses. One definition is of businesses which employ 10 or fewer employees including the micro-entrep</w:t>
      </w:r>
      <w:r w:rsidR="00557F89" w:rsidRPr="000D6BEA">
        <w:rPr>
          <w:rFonts w:asciiTheme="minorHAnsi" w:hAnsiTheme="minorHAnsi" w:cstheme="minorHAnsi"/>
          <w:szCs w:val="21"/>
        </w:rPr>
        <w:t>r</w:t>
      </w:r>
      <w:r w:rsidRPr="000D6BEA">
        <w:rPr>
          <w:rFonts w:asciiTheme="minorHAnsi" w:hAnsiTheme="minorHAnsi" w:cstheme="minorHAnsi"/>
          <w:szCs w:val="21"/>
        </w:rPr>
        <w:t>eneur, often rely on a very small amount of start-up costs (Conroy et al.</w:t>
      </w:r>
      <w:r w:rsidR="00B62AC3" w:rsidRPr="000D6BEA">
        <w:rPr>
          <w:rFonts w:asciiTheme="minorHAnsi" w:hAnsiTheme="minorHAnsi" w:cstheme="minorHAnsi"/>
          <w:szCs w:val="21"/>
        </w:rPr>
        <w:t>,</w:t>
      </w:r>
      <w:r w:rsidRPr="000D6BEA">
        <w:rPr>
          <w:rFonts w:asciiTheme="minorHAnsi" w:hAnsiTheme="minorHAnsi" w:cstheme="minorHAnsi"/>
          <w:szCs w:val="21"/>
        </w:rPr>
        <w:t xml:space="preserve"> 2010) and may or may not make enough money to support an individual (Reddington &amp; Fitzsimons, 2013). A recent Australian study described microenterprises as:</w:t>
      </w:r>
    </w:p>
    <w:p w14:paraId="4587918E" w14:textId="65BE3994" w:rsidR="00875BDE" w:rsidRPr="000D6BEA" w:rsidRDefault="00875BDE" w:rsidP="000D6BEA">
      <w:pPr>
        <w:autoSpaceDE w:val="0"/>
        <w:autoSpaceDN w:val="0"/>
        <w:adjustRightInd w:val="0"/>
        <w:spacing w:line="276" w:lineRule="auto"/>
        <w:ind w:left="360" w:right="360"/>
        <w:rPr>
          <w:rFonts w:asciiTheme="minorHAnsi" w:hAnsiTheme="minorHAnsi" w:cstheme="minorHAnsi"/>
          <w:szCs w:val="21"/>
        </w:rPr>
      </w:pPr>
      <w:r w:rsidRPr="000D6BEA">
        <w:rPr>
          <w:rFonts w:asciiTheme="minorHAnsi" w:hAnsiTheme="minorHAnsi" w:cstheme="minorHAnsi"/>
          <w:szCs w:val="21"/>
        </w:rPr>
        <w:t xml:space="preserve">a very small business that is simple to start, with minimal capital needed. They can have a vital purpose in improving people’s quality of life and may give </w:t>
      </w:r>
      <w:proofErr w:type="spellStart"/>
      <w:r w:rsidRPr="000D6BEA">
        <w:rPr>
          <w:rFonts w:asciiTheme="minorHAnsi" w:hAnsiTheme="minorHAnsi" w:cstheme="minorHAnsi"/>
          <w:szCs w:val="21"/>
        </w:rPr>
        <w:t>PwD</w:t>
      </w:r>
      <w:proofErr w:type="spellEnd"/>
      <w:r w:rsidRPr="000D6BEA">
        <w:rPr>
          <w:rFonts w:asciiTheme="minorHAnsi" w:hAnsiTheme="minorHAnsi" w:cstheme="minorHAnsi"/>
          <w:szCs w:val="21"/>
        </w:rPr>
        <w:t xml:space="preserve"> a role in their local community providing a service or goods. They are highly individual - able to happen at a scale, stamina and schedule that suits an individual (Darcy</w:t>
      </w:r>
      <w:r w:rsidR="00735235" w:rsidRPr="000D6BEA">
        <w:rPr>
          <w:rFonts w:asciiTheme="minorHAnsi" w:hAnsiTheme="minorHAnsi" w:cstheme="minorHAnsi"/>
          <w:szCs w:val="21"/>
        </w:rPr>
        <w:t xml:space="preserve"> et al.</w:t>
      </w:r>
      <w:r w:rsidRPr="000D6BEA">
        <w:rPr>
          <w:rFonts w:asciiTheme="minorHAnsi" w:hAnsiTheme="minorHAnsi" w:cstheme="minorHAnsi"/>
          <w:szCs w:val="21"/>
        </w:rPr>
        <w:t>, 2020, p.</w:t>
      </w:r>
      <w:r w:rsidR="0009321E" w:rsidRPr="000D6BEA">
        <w:rPr>
          <w:rFonts w:asciiTheme="minorHAnsi" w:hAnsiTheme="minorHAnsi" w:cstheme="minorHAnsi"/>
          <w:szCs w:val="21"/>
        </w:rPr>
        <w:t xml:space="preserve"> </w:t>
      </w:r>
      <w:r w:rsidRPr="000D6BEA">
        <w:rPr>
          <w:rFonts w:asciiTheme="minorHAnsi" w:hAnsiTheme="minorHAnsi" w:cstheme="minorHAnsi"/>
          <w:szCs w:val="21"/>
        </w:rPr>
        <w:t>ii)</w:t>
      </w:r>
      <w:r w:rsidR="0011617C">
        <w:rPr>
          <w:rFonts w:asciiTheme="minorHAnsi" w:hAnsiTheme="minorHAnsi" w:cstheme="minorHAnsi"/>
          <w:szCs w:val="21"/>
        </w:rPr>
        <w:t>.</w:t>
      </w:r>
    </w:p>
    <w:p w14:paraId="63FB1C5D" w14:textId="5E21C55F" w:rsidR="00875BDE" w:rsidRPr="000D6BEA" w:rsidRDefault="00875BDE" w:rsidP="000D6BEA">
      <w:pPr>
        <w:autoSpaceDE w:val="0"/>
        <w:autoSpaceDN w:val="0"/>
        <w:adjustRightInd w:val="0"/>
        <w:spacing w:line="276" w:lineRule="auto"/>
        <w:rPr>
          <w:rFonts w:asciiTheme="minorHAnsi" w:hAnsiTheme="minorHAnsi" w:cstheme="minorHAnsi"/>
          <w:szCs w:val="21"/>
        </w:rPr>
      </w:pPr>
      <w:r w:rsidRPr="000D6BEA">
        <w:rPr>
          <w:rFonts w:asciiTheme="minorHAnsi" w:hAnsiTheme="minorHAnsi" w:cstheme="minorHAnsi"/>
          <w:szCs w:val="21"/>
        </w:rPr>
        <w:t>Microenterprises are emerging as an employment option for people with intellectual disability, including those who have high support needs. They are:</w:t>
      </w:r>
    </w:p>
    <w:p w14:paraId="36E97D05" w14:textId="4C3699FC" w:rsidR="00875BDE" w:rsidRPr="000D6BEA" w:rsidRDefault="00875BDE" w:rsidP="000D6BEA">
      <w:pPr>
        <w:autoSpaceDE w:val="0"/>
        <w:autoSpaceDN w:val="0"/>
        <w:adjustRightInd w:val="0"/>
        <w:spacing w:line="276" w:lineRule="auto"/>
        <w:ind w:left="360" w:right="450"/>
        <w:rPr>
          <w:rFonts w:asciiTheme="minorHAnsi" w:hAnsiTheme="minorHAnsi" w:cstheme="minorHAnsi"/>
          <w:szCs w:val="21"/>
        </w:rPr>
      </w:pPr>
      <w:r w:rsidRPr="000D6BEA">
        <w:rPr>
          <w:rFonts w:asciiTheme="minorHAnsi" w:hAnsiTheme="minorHAnsi" w:cstheme="minorHAnsi"/>
          <w:szCs w:val="21"/>
        </w:rPr>
        <w:t xml:space="preserve">highly </w:t>
      </w:r>
      <w:proofErr w:type="spellStart"/>
      <w:r w:rsidRPr="000D6BEA">
        <w:rPr>
          <w:rFonts w:asciiTheme="minorHAnsi" w:hAnsiTheme="minorHAnsi" w:cstheme="minorHAnsi"/>
          <w:szCs w:val="21"/>
        </w:rPr>
        <w:t>individualised</w:t>
      </w:r>
      <w:proofErr w:type="spellEnd"/>
      <w:r w:rsidRPr="000D6BEA">
        <w:rPr>
          <w:rFonts w:asciiTheme="minorHAnsi" w:hAnsiTheme="minorHAnsi" w:cstheme="minorHAnsi"/>
          <w:szCs w:val="21"/>
        </w:rPr>
        <w:t>, person-</w:t>
      </w:r>
      <w:proofErr w:type="spellStart"/>
      <w:r w:rsidRPr="000D6BEA">
        <w:rPr>
          <w:rFonts w:asciiTheme="minorHAnsi" w:hAnsiTheme="minorHAnsi" w:cstheme="minorHAnsi"/>
          <w:szCs w:val="21"/>
        </w:rPr>
        <w:t>centred</w:t>
      </w:r>
      <w:proofErr w:type="spellEnd"/>
      <w:r w:rsidRPr="000D6BEA">
        <w:rPr>
          <w:rFonts w:asciiTheme="minorHAnsi" w:hAnsiTheme="minorHAnsi" w:cstheme="minorHAnsi"/>
          <w:szCs w:val="21"/>
        </w:rPr>
        <w:t>, and are built around the skills, strengths, and interests of the focal person. SBEs draw on a range of funding sources and paid and unpaid supports are instrumental in their development and continuation (</w:t>
      </w:r>
      <w:proofErr w:type="spellStart"/>
      <w:r w:rsidRPr="000D6BEA">
        <w:rPr>
          <w:rFonts w:asciiTheme="minorHAnsi" w:hAnsiTheme="minorHAnsi" w:cstheme="minorHAnsi"/>
          <w:szCs w:val="21"/>
        </w:rPr>
        <w:t>Thoresen</w:t>
      </w:r>
      <w:proofErr w:type="spellEnd"/>
      <w:r w:rsidRPr="000D6BEA">
        <w:rPr>
          <w:rFonts w:asciiTheme="minorHAnsi" w:hAnsiTheme="minorHAnsi" w:cstheme="minorHAnsi"/>
          <w:szCs w:val="21"/>
        </w:rPr>
        <w:t xml:space="preserve"> et al., 2018, p.</w:t>
      </w:r>
      <w:r w:rsidR="0087320F" w:rsidRPr="000D6BEA">
        <w:rPr>
          <w:rFonts w:asciiTheme="minorHAnsi" w:hAnsiTheme="minorHAnsi" w:cstheme="minorHAnsi"/>
          <w:szCs w:val="21"/>
        </w:rPr>
        <w:t xml:space="preserve"> </w:t>
      </w:r>
      <w:r w:rsidRPr="000D6BEA">
        <w:rPr>
          <w:rFonts w:asciiTheme="minorHAnsi" w:hAnsiTheme="minorHAnsi" w:cstheme="minorHAnsi"/>
          <w:szCs w:val="21"/>
        </w:rPr>
        <w:t>161)</w:t>
      </w:r>
      <w:r w:rsidR="0011617C">
        <w:rPr>
          <w:rFonts w:asciiTheme="minorHAnsi" w:hAnsiTheme="minorHAnsi" w:cstheme="minorHAnsi"/>
          <w:szCs w:val="21"/>
        </w:rPr>
        <w:t>.</w:t>
      </w:r>
    </w:p>
    <w:p w14:paraId="34BC4077" w14:textId="162EF62F" w:rsidR="00875BDE" w:rsidRPr="000D6BEA" w:rsidRDefault="00875BDE" w:rsidP="000D6BEA">
      <w:pPr>
        <w:autoSpaceDE w:val="0"/>
        <w:autoSpaceDN w:val="0"/>
        <w:adjustRightInd w:val="0"/>
        <w:spacing w:line="276" w:lineRule="auto"/>
        <w:rPr>
          <w:rFonts w:asciiTheme="minorHAnsi" w:hAnsiTheme="minorHAnsi" w:cstheme="minorHAnsi"/>
          <w:szCs w:val="21"/>
        </w:rPr>
      </w:pPr>
      <w:r w:rsidRPr="000D6BEA">
        <w:rPr>
          <w:rFonts w:asciiTheme="minorHAnsi" w:hAnsiTheme="minorHAnsi" w:cstheme="minorHAnsi"/>
          <w:szCs w:val="21"/>
        </w:rPr>
        <w:t xml:space="preserve">A microenterprise can have a range of legal structures including </w:t>
      </w:r>
      <w:r w:rsidR="00514E8A" w:rsidRPr="000D6BEA">
        <w:rPr>
          <w:rFonts w:asciiTheme="minorHAnsi" w:hAnsiTheme="minorHAnsi" w:cstheme="minorHAnsi"/>
          <w:szCs w:val="21"/>
        </w:rPr>
        <w:t>“</w:t>
      </w:r>
      <w:r w:rsidRPr="000D6BEA">
        <w:rPr>
          <w:rFonts w:asciiTheme="minorHAnsi" w:hAnsiTheme="minorHAnsi" w:cstheme="minorHAnsi"/>
          <w:szCs w:val="21"/>
        </w:rPr>
        <w:t>a simple corporation of any type, offering the possibility of holding assets in the corporation, rather than in the individual’s name</w:t>
      </w:r>
      <w:r w:rsidR="00514E8A" w:rsidRPr="000D6BEA">
        <w:rPr>
          <w:rFonts w:asciiTheme="minorHAnsi" w:hAnsiTheme="minorHAnsi" w:cstheme="minorHAnsi"/>
          <w:szCs w:val="21"/>
        </w:rPr>
        <w:t>”</w:t>
      </w:r>
      <w:r w:rsidRPr="000D6BEA">
        <w:rPr>
          <w:rFonts w:asciiTheme="minorHAnsi" w:hAnsiTheme="minorHAnsi" w:cstheme="minorHAnsi"/>
          <w:szCs w:val="21"/>
        </w:rPr>
        <w:t xml:space="preserve"> (Conroy et al.</w:t>
      </w:r>
      <w:r w:rsidR="00B62AC3" w:rsidRPr="000D6BEA">
        <w:rPr>
          <w:rFonts w:asciiTheme="minorHAnsi" w:hAnsiTheme="minorHAnsi" w:cstheme="minorHAnsi"/>
          <w:szCs w:val="21"/>
        </w:rPr>
        <w:t>,</w:t>
      </w:r>
      <w:r w:rsidRPr="000D6BEA">
        <w:rPr>
          <w:rFonts w:asciiTheme="minorHAnsi" w:hAnsiTheme="minorHAnsi" w:cstheme="minorHAnsi"/>
          <w:szCs w:val="21"/>
        </w:rPr>
        <w:t xml:space="preserve"> 2010, p. 270) or can be owned and operated by a family member and then employ the individual with intellectual disability (</w:t>
      </w:r>
      <w:proofErr w:type="spellStart"/>
      <w:r w:rsidRPr="000D6BEA">
        <w:rPr>
          <w:rFonts w:asciiTheme="minorHAnsi" w:hAnsiTheme="minorHAnsi" w:cstheme="minorHAnsi"/>
          <w:szCs w:val="21"/>
        </w:rPr>
        <w:t>Thoresen</w:t>
      </w:r>
      <w:proofErr w:type="spellEnd"/>
      <w:r w:rsidRPr="000D6BEA">
        <w:rPr>
          <w:rFonts w:asciiTheme="minorHAnsi" w:hAnsiTheme="minorHAnsi" w:cstheme="minorHAnsi"/>
          <w:szCs w:val="21"/>
        </w:rPr>
        <w:t xml:space="preserve"> et al., 2018).</w:t>
      </w:r>
    </w:p>
    <w:p w14:paraId="22FBBCB8" w14:textId="57580896" w:rsidR="00875BDE" w:rsidRPr="000D6BEA" w:rsidRDefault="00875BDE" w:rsidP="000D6BEA">
      <w:pPr>
        <w:autoSpaceDE w:val="0"/>
        <w:autoSpaceDN w:val="0"/>
        <w:adjustRightInd w:val="0"/>
        <w:spacing w:line="276" w:lineRule="auto"/>
        <w:rPr>
          <w:rFonts w:asciiTheme="minorHAnsi" w:hAnsiTheme="minorHAnsi" w:cstheme="minorHAnsi"/>
          <w:szCs w:val="21"/>
        </w:rPr>
      </w:pPr>
      <w:r w:rsidRPr="000D6BEA">
        <w:rPr>
          <w:rFonts w:asciiTheme="minorHAnsi" w:hAnsiTheme="minorHAnsi" w:cstheme="minorHAnsi"/>
          <w:szCs w:val="21"/>
        </w:rPr>
        <w:t xml:space="preserve">The benefits of self-employment for people with disability have been described as: </w:t>
      </w:r>
    </w:p>
    <w:p w14:paraId="2E8397B7" w14:textId="77777777" w:rsidR="00875BDE" w:rsidRPr="000D6BEA" w:rsidRDefault="00875BDE" w:rsidP="000D6BEA">
      <w:pPr>
        <w:pStyle w:val="ListParagraph"/>
        <w:numPr>
          <w:ilvl w:val="0"/>
          <w:numId w:val="57"/>
        </w:numPr>
        <w:autoSpaceDE w:val="0"/>
        <w:autoSpaceDN w:val="0"/>
        <w:adjustRightInd w:val="0"/>
        <w:spacing w:line="276" w:lineRule="auto"/>
        <w:rPr>
          <w:rFonts w:asciiTheme="minorHAnsi" w:hAnsiTheme="minorHAnsi" w:cstheme="minorHAnsi"/>
          <w:szCs w:val="21"/>
        </w:rPr>
      </w:pPr>
      <w:r w:rsidRPr="000D6BEA">
        <w:rPr>
          <w:rFonts w:asciiTheme="minorHAnsi" w:hAnsiTheme="minorHAnsi" w:cstheme="minorHAnsi"/>
          <w:szCs w:val="21"/>
        </w:rPr>
        <w:t>including types of work not found in existing job opportunities</w:t>
      </w:r>
    </w:p>
    <w:p w14:paraId="09601C27" w14:textId="77777777" w:rsidR="00875BDE" w:rsidRPr="000D6BEA" w:rsidRDefault="00875BDE" w:rsidP="000D6BEA">
      <w:pPr>
        <w:pStyle w:val="ListParagraph"/>
        <w:numPr>
          <w:ilvl w:val="0"/>
          <w:numId w:val="57"/>
        </w:numPr>
        <w:autoSpaceDE w:val="0"/>
        <w:autoSpaceDN w:val="0"/>
        <w:adjustRightInd w:val="0"/>
        <w:spacing w:line="276" w:lineRule="auto"/>
        <w:rPr>
          <w:rFonts w:asciiTheme="minorHAnsi" w:hAnsiTheme="minorHAnsi" w:cstheme="minorHAnsi"/>
          <w:szCs w:val="21"/>
        </w:rPr>
      </w:pPr>
      <w:r w:rsidRPr="000D6BEA">
        <w:rPr>
          <w:rFonts w:asciiTheme="minorHAnsi" w:hAnsiTheme="minorHAnsi" w:cstheme="minorHAnsi"/>
          <w:szCs w:val="21"/>
        </w:rPr>
        <w:t>offering a high degree of control and self-reliance which is attractive to some people</w:t>
      </w:r>
    </w:p>
    <w:p w14:paraId="4724C162" w14:textId="77777777" w:rsidR="00875BDE" w:rsidRPr="000D6BEA" w:rsidRDefault="00875BDE" w:rsidP="000D6BEA">
      <w:pPr>
        <w:pStyle w:val="ListParagraph"/>
        <w:numPr>
          <w:ilvl w:val="0"/>
          <w:numId w:val="57"/>
        </w:numPr>
        <w:autoSpaceDE w:val="0"/>
        <w:autoSpaceDN w:val="0"/>
        <w:adjustRightInd w:val="0"/>
        <w:spacing w:line="276" w:lineRule="auto"/>
        <w:rPr>
          <w:rFonts w:asciiTheme="minorHAnsi" w:hAnsiTheme="minorHAnsi" w:cstheme="minorHAnsi"/>
          <w:szCs w:val="21"/>
        </w:rPr>
      </w:pPr>
      <w:r w:rsidRPr="000D6BEA">
        <w:rPr>
          <w:rFonts w:asciiTheme="minorHAnsi" w:hAnsiTheme="minorHAnsi" w:cstheme="minorHAnsi"/>
          <w:szCs w:val="21"/>
        </w:rPr>
        <w:t>offering a way to control how much personal income is drawn from a business and therefore manage the impact on government benefits and income support</w:t>
      </w:r>
    </w:p>
    <w:p w14:paraId="681BB5CC" w14:textId="77777777" w:rsidR="00875BDE" w:rsidRPr="000D6BEA" w:rsidRDefault="00875BDE" w:rsidP="000D6BEA">
      <w:pPr>
        <w:pStyle w:val="ListParagraph"/>
        <w:numPr>
          <w:ilvl w:val="0"/>
          <w:numId w:val="58"/>
        </w:numPr>
        <w:autoSpaceDE w:val="0"/>
        <w:autoSpaceDN w:val="0"/>
        <w:adjustRightInd w:val="0"/>
        <w:spacing w:line="276" w:lineRule="auto"/>
        <w:rPr>
          <w:rFonts w:asciiTheme="minorHAnsi" w:hAnsiTheme="minorHAnsi" w:cstheme="minorHAnsi"/>
          <w:szCs w:val="21"/>
        </w:rPr>
      </w:pPr>
      <w:r w:rsidRPr="000D6BEA">
        <w:rPr>
          <w:rFonts w:asciiTheme="minorHAnsi" w:hAnsiTheme="minorHAnsi" w:cstheme="minorHAnsi"/>
          <w:szCs w:val="21"/>
        </w:rPr>
        <w:t xml:space="preserve">enabling the accumulation of assets (in a way not possible via income support) </w:t>
      </w:r>
    </w:p>
    <w:p w14:paraId="0A1A5437" w14:textId="77777777" w:rsidR="00875BDE" w:rsidRPr="000D6BEA" w:rsidRDefault="00875BDE" w:rsidP="000D6BEA">
      <w:pPr>
        <w:pStyle w:val="ListParagraph"/>
        <w:numPr>
          <w:ilvl w:val="0"/>
          <w:numId w:val="58"/>
        </w:numPr>
        <w:autoSpaceDE w:val="0"/>
        <w:autoSpaceDN w:val="0"/>
        <w:adjustRightInd w:val="0"/>
        <w:spacing w:line="276" w:lineRule="auto"/>
        <w:rPr>
          <w:rFonts w:asciiTheme="minorHAnsi" w:hAnsiTheme="minorHAnsi" w:cstheme="minorHAnsi"/>
          <w:szCs w:val="21"/>
        </w:rPr>
      </w:pPr>
      <w:r w:rsidRPr="000D6BEA">
        <w:rPr>
          <w:rFonts w:asciiTheme="minorHAnsi" w:hAnsiTheme="minorHAnsi" w:cstheme="minorHAnsi"/>
          <w:szCs w:val="21"/>
        </w:rPr>
        <w:t>enabling control over the workplace and job tasks so that they match the needs of the individual</w:t>
      </w:r>
    </w:p>
    <w:p w14:paraId="2F1D742F" w14:textId="77777777" w:rsidR="00875BDE" w:rsidRPr="000D6BEA" w:rsidRDefault="00875BDE" w:rsidP="000D6BEA">
      <w:pPr>
        <w:pStyle w:val="ListParagraph"/>
        <w:numPr>
          <w:ilvl w:val="0"/>
          <w:numId w:val="58"/>
        </w:numPr>
        <w:autoSpaceDE w:val="0"/>
        <w:autoSpaceDN w:val="0"/>
        <w:adjustRightInd w:val="0"/>
        <w:spacing w:line="276" w:lineRule="auto"/>
        <w:rPr>
          <w:rFonts w:asciiTheme="minorHAnsi" w:hAnsiTheme="minorHAnsi" w:cstheme="minorHAnsi"/>
          <w:szCs w:val="21"/>
        </w:rPr>
      </w:pPr>
      <w:r w:rsidRPr="000D6BEA">
        <w:rPr>
          <w:rFonts w:asciiTheme="minorHAnsi" w:hAnsiTheme="minorHAnsi" w:cstheme="minorHAnsi"/>
          <w:szCs w:val="21"/>
        </w:rPr>
        <w:t xml:space="preserve">offering capacity to schedule work around own needs </w:t>
      </w:r>
    </w:p>
    <w:p w14:paraId="58E19B70" w14:textId="3BAA170D" w:rsidR="00875BDE" w:rsidRPr="000D6BEA" w:rsidRDefault="00875BDE" w:rsidP="000D6BEA">
      <w:pPr>
        <w:pStyle w:val="ListParagraph"/>
        <w:numPr>
          <w:ilvl w:val="0"/>
          <w:numId w:val="58"/>
        </w:numPr>
        <w:autoSpaceDE w:val="0"/>
        <w:autoSpaceDN w:val="0"/>
        <w:adjustRightInd w:val="0"/>
        <w:spacing w:line="276" w:lineRule="auto"/>
        <w:rPr>
          <w:rFonts w:asciiTheme="minorHAnsi" w:hAnsiTheme="minorHAnsi" w:cstheme="minorHAnsi"/>
          <w:szCs w:val="21"/>
        </w:rPr>
      </w:pPr>
      <w:r w:rsidRPr="000D6BEA">
        <w:rPr>
          <w:rFonts w:asciiTheme="minorHAnsi" w:hAnsiTheme="minorHAnsi" w:cstheme="minorHAnsi"/>
          <w:szCs w:val="21"/>
        </w:rPr>
        <w:t>potentially overcoming barriers to employment such as lack of transportation, workplace discrimination etc. (</w:t>
      </w:r>
      <w:proofErr w:type="spellStart"/>
      <w:r w:rsidRPr="000D6BEA">
        <w:rPr>
          <w:rFonts w:asciiTheme="minorHAnsi" w:hAnsiTheme="minorHAnsi" w:cstheme="minorHAnsi"/>
          <w:szCs w:val="21"/>
        </w:rPr>
        <w:t>Hagner</w:t>
      </w:r>
      <w:proofErr w:type="spellEnd"/>
      <w:r w:rsidRPr="000D6BEA">
        <w:rPr>
          <w:rFonts w:asciiTheme="minorHAnsi" w:hAnsiTheme="minorHAnsi" w:cstheme="minorHAnsi"/>
          <w:szCs w:val="21"/>
        </w:rPr>
        <w:t xml:space="preserve"> </w:t>
      </w:r>
      <w:r w:rsidR="001C3A35" w:rsidRPr="000D6BEA">
        <w:rPr>
          <w:rFonts w:asciiTheme="minorHAnsi" w:hAnsiTheme="minorHAnsi" w:cstheme="minorHAnsi"/>
          <w:szCs w:val="21"/>
        </w:rPr>
        <w:t>&amp;</w:t>
      </w:r>
      <w:r w:rsidRPr="000D6BEA">
        <w:rPr>
          <w:rFonts w:asciiTheme="minorHAnsi" w:hAnsiTheme="minorHAnsi" w:cstheme="minorHAnsi"/>
          <w:szCs w:val="21"/>
        </w:rPr>
        <w:t xml:space="preserve"> Davies, 2002; </w:t>
      </w:r>
      <w:proofErr w:type="spellStart"/>
      <w:r w:rsidRPr="000D6BEA">
        <w:rPr>
          <w:rFonts w:asciiTheme="minorHAnsi" w:hAnsiTheme="minorHAnsi" w:cstheme="minorHAnsi"/>
          <w:szCs w:val="21"/>
        </w:rPr>
        <w:t>Ouimmette</w:t>
      </w:r>
      <w:proofErr w:type="spellEnd"/>
      <w:r w:rsidRPr="000D6BEA">
        <w:rPr>
          <w:rFonts w:asciiTheme="minorHAnsi" w:hAnsiTheme="minorHAnsi" w:cstheme="minorHAnsi"/>
          <w:szCs w:val="21"/>
        </w:rPr>
        <w:t xml:space="preserve"> and </w:t>
      </w:r>
      <w:proofErr w:type="spellStart"/>
      <w:r w:rsidRPr="000D6BEA">
        <w:rPr>
          <w:rFonts w:asciiTheme="minorHAnsi" w:hAnsiTheme="minorHAnsi" w:cstheme="minorHAnsi"/>
          <w:szCs w:val="21"/>
        </w:rPr>
        <w:t>Rammler</w:t>
      </w:r>
      <w:proofErr w:type="spellEnd"/>
      <w:r w:rsidRPr="000D6BEA">
        <w:rPr>
          <w:rFonts w:asciiTheme="minorHAnsi" w:hAnsiTheme="minorHAnsi" w:cstheme="minorHAnsi"/>
          <w:szCs w:val="21"/>
        </w:rPr>
        <w:t>, 2017; Ashley and Graf, 2018).</w:t>
      </w:r>
    </w:p>
    <w:p w14:paraId="6214F8F1" w14:textId="77777777" w:rsidR="00875BDE" w:rsidRPr="000D6BEA" w:rsidRDefault="00875BDE" w:rsidP="000D6BEA">
      <w:pPr>
        <w:autoSpaceDE w:val="0"/>
        <w:autoSpaceDN w:val="0"/>
        <w:adjustRightInd w:val="0"/>
        <w:spacing w:line="276" w:lineRule="auto"/>
        <w:rPr>
          <w:rFonts w:asciiTheme="minorHAnsi" w:hAnsiTheme="minorHAnsi" w:cstheme="minorHAnsi"/>
          <w:szCs w:val="21"/>
        </w:rPr>
      </w:pPr>
      <w:r w:rsidRPr="000D6BEA">
        <w:rPr>
          <w:rFonts w:asciiTheme="minorHAnsi" w:hAnsiTheme="minorHAnsi" w:cstheme="minorHAnsi"/>
          <w:szCs w:val="21"/>
        </w:rPr>
        <w:t>Microenterprises involving people with intellectual disability have some common ingredients including:</w:t>
      </w:r>
    </w:p>
    <w:p w14:paraId="599F2CE9" w14:textId="6E2F0D32" w:rsidR="00875BDE" w:rsidRPr="000D6BEA" w:rsidRDefault="00875BDE" w:rsidP="000D6BEA">
      <w:pPr>
        <w:pStyle w:val="ListParagraph"/>
        <w:numPr>
          <w:ilvl w:val="0"/>
          <w:numId w:val="59"/>
        </w:numPr>
        <w:autoSpaceDE w:val="0"/>
        <w:autoSpaceDN w:val="0"/>
        <w:adjustRightInd w:val="0"/>
        <w:spacing w:line="276" w:lineRule="auto"/>
        <w:rPr>
          <w:rFonts w:asciiTheme="minorHAnsi" w:hAnsiTheme="minorHAnsi" w:cstheme="minorHAnsi"/>
          <w:szCs w:val="21"/>
        </w:rPr>
      </w:pPr>
      <w:proofErr w:type="spellStart"/>
      <w:r w:rsidRPr="000D6BEA">
        <w:rPr>
          <w:rFonts w:asciiTheme="minorHAnsi" w:hAnsiTheme="minorHAnsi" w:cstheme="minorHAnsi"/>
          <w:b/>
          <w:bCs/>
          <w:szCs w:val="21"/>
        </w:rPr>
        <w:t>individuali</w:t>
      </w:r>
      <w:r w:rsidR="00131ED2" w:rsidRPr="000D6BEA">
        <w:rPr>
          <w:rFonts w:asciiTheme="minorHAnsi" w:hAnsiTheme="minorHAnsi" w:cstheme="minorHAnsi"/>
          <w:b/>
          <w:bCs/>
          <w:szCs w:val="21"/>
        </w:rPr>
        <w:t>s</w:t>
      </w:r>
      <w:r w:rsidRPr="000D6BEA">
        <w:rPr>
          <w:rFonts w:asciiTheme="minorHAnsi" w:hAnsiTheme="minorHAnsi" w:cstheme="minorHAnsi"/>
          <w:b/>
          <w:bCs/>
          <w:szCs w:val="21"/>
        </w:rPr>
        <w:t>ation</w:t>
      </w:r>
      <w:proofErr w:type="spellEnd"/>
      <w:r w:rsidRPr="000D6BEA">
        <w:rPr>
          <w:rFonts w:asciiTheme="minorHAnsi" w:hAnsiTheme="minorHAnsi" w:cstheme="minorHAnsi"/>
          <w:szCs w:val="21"/>
        </w:rPr>
        <w:t xml:space="preserve">, that is, </w:t>
      </w:r>
      <w:r w:rsidR="00514E8A" w:rsidRPr="000D6BEA">
        <w:rPr>
          <w:rFonts w:asciiTheme="minorHAnsi" w:hAnsiTheme="minorHAnsi" w:cstheme="minorHAnsi"/>
          <w:szCs w:val="21"/>
        </w:rPr>
        <w:t>“</w:t>
      </w:r>
      <w:r w:rsidRPr="000D6BEA">
        <w:rPr>
          <w:rFonts w:asciiTheme="minorHAnsi" w:hAnsiTheme="minorHAnsi" w:cstheme="minorHAnsi"/>
          <w:szCs w:val="21"/>
        </w:rPr>
        <w:t>connected to genuine interests and talents of each individual</w:t>
      </w:r>
      <w:r w:rsidR="00514E8A" w:rsidRPr="000D6BEA">
        <w:rPr>
          <w:rFonts w:asciiTheme="minorHAnsi" w:hAnsiTheme="minorHAnsi" w:cstheme="minorHAnsi"/>
          <w:szCs w:val="21"/>
        </w:rPr>
        <w:t>”</w:t>
      </w:r>
      <w:r w:rsidRPr="000D6BEA">
        <w:rPr>
          <w:rFonts w:asciiTheme="minorHAnsi" w:hAnsiTheme="minorHAnsi" w:cstheme="minorHAnsi"/>
          <w:szCs w:val="21"/>
        </w:rPr>
        <w:t xml:space="preserve"> (</w:t>
      </w:r>
      <w:proofErr w:type="spellStart"/>
      <w:r w:rsidRPr="000D6BEA">
        <w:rPr>
          <w:rFonts w:asciiTheme="minorHAnsi" w:hAnsiTheme="minorHAnsi" w:cstheme="minorHAnsi"/>
          <w:szCs w:val="21"/>
        </w:rPr>
        <w:t>Hagner</w:t>
      </w:r>
      <w:proofErr w:type="spellEnd"/>
      <w:r w:rsidRPr="000D6BEA">
        <w:rPr>
          <w:rFonts w:asciiTheme="minorHAnsi" w:hAnsiTheme="minorHAnsi" w:cstheme="minorHAnsi"/>
          <w:szCs w:val="21"/>
        </w:rPr>
        <w:t xml:space="preserve"> &amp; Davies, 2002</w:t>
      </w:r>
      <w:r w:rsidR="00465F9D" w:rsidRPr="000D6BEA">
        <w:rPr>
          <w:rFonts w:asciiTheme="minorHAnsi" w:hAnsiTheme="minorHAnsi" w:cstheme="minorHAnsi"/>
          <w:szCs w:val="21"/>
        </w:rPr>
        <w:t xml:space="preserve">, p. </w:t>
      </w:r>
      <w:r w:rsidRPr="000D6BEA">
        <w:rPr>
          <w:rFonts w:asciiTheme="minorHAnsi" w:hAnsiTheme="minorHAnsi" w:cstheme="minorHAnsi"/>
          <w:szCs w:val="21"/>
        </w:rPr>
        <w:t xml:space="preserve">73), and </w:t>
      </w:r>
      <w:r w:rsidR="00514E8A" w:rsidRPr="000D6BEA">
        <w:rPr>
          <w:rFonts w:asciiTheme="minorHAnsi" w:hAnsiTheme="minorHAnsi" w:cstheme="minorHAnsi"/>
          <w:szCs w:val="21"/>
        </w:rPr>
        <w:t>“</w:t>
      </w:r>
      <w:r w:rsidRPr="000D6BEA">
        <w:rPr>
          <w:rFonts w:asciiTheme="minorHAnsi" w:hAnsiTheme="minorHAnsi" w:cstheme="minorHAnsi"/>
          <w:szCs w:val="21"/>
        </w:rPr>
        <w:t>designed around [the person]… his likes, strengths, and support needs…[and] underpinned by a clear vision for his life</w:t>
      </w:r>
      <w:r w:rsidR="00514E8A" w:rsidRPr="000D6BEA">
        <w:rPr>
          <w:rFonts w:asciiTheme="minorHAnsi" w:hAnsiTheme="minorHAnsi" w:cstheme="minorHAnsi"/>
          <w:szCs w:val="21"/>
        </w:rPr>
        <w:t>”</w:t>
      </w:r>
      <w:r w:rsidRPr="000D6BEA">
        <w:rPr>
          <w:rFonts w:asciiTheme="minorHAnsi" w:hAnsiTheme="minorHAnsi" w:cstheme="minorHAnsi"/>
          <w:szCs w:val="21"/>
        </w:rPr>
        <w:t xml:space="preserve"> (</w:t>
      </w:r>
      <w:proofErr w:type="spellStart"/>
      <w:r w:rsidRPr="000D6BEA">
        <w:rPr>
          <w:rFonts w:asciiTheme="minorHAnsi" w:hAnsiTheme="minorHAnsi" w:cstheme="minorHAnsi"/>
          <w:szCs w:val="21"/>
        </w:rPr>
        <w:t>Thoresen</w:t>
      </w:r>
      <w:proofErr w:type="spellEnd"/>
      <w:r w:rsidRPr="000D6BEA">
        <w:rPr>
          <w:rFonts w:asciiTheme="minorHAnsi" w:hAnsiTheme="minorHAnsi" w:cstheme="minorHAnsi"/>
          <w:szCs w:val="21"/>
        </w:rPr>
        <w:t xml:space="preserve"> et al., 2018, p. 167). As described by Reddington </w:t>
      </w:r>
      <w:r w:rsidR="004F429D" w:rsidRPr="000D6BEA">
        <w:rPr>
          <w:rFonts w:asciiTheme="minorHAnsi" w:hAnsiTheme="minorHAnsi" w:cstheme="minorHAnsi"/>
          <w:szCs w:val="21"/>
        </w:rPr>
        <w:t>and</w:t>
      </w:r>
      <w:r w:rsidRPr="000D6BEA">
        <w:rPr>
          <w:rFonts w:asciiTheme="minorHAnsi" w:hAnsiTheme="minorHAnsi" w:cstheme="minorHAnsi"/>
          <w:szCs w:val="21"/>
        </w:rPr>
        <w:t xml:space="preserve"> Fitzsimons (2013) </w:t>
      </w:r>
      <w:r w:rsidR="00514E8A" w:rsidRPr="000D6BEA">
        <w:rPr>
          <w:rFonts w:asciiTheme="minorHAnsi" w:hAnsiTheme="minorHAnsi" w:cstheme="minorHAnsi"/>
          <w:szCs w:val="21"/>
        </w:rPr>
        <w:t>“</w:t>
      </w:r>
      <w:r w:rsidRPr="000D6BEA">
        <w:rPr>
          <w:rFonts w:asciiTheme="minorHAnsi" w:hAnsiTheme="minorHAnsi" w:cstheme="minorHAnsi"/>
          <w:szCs w:val="21"/>
        </w:rPr>
        <w:t xml:space="preserve">the microenterprise should be wholly built around the person who is the </w:t>
      </w:r>
      <w:r w:rsidR="00514E8A" w:rsidRPr="000D6BEA">
        <w:rPr>
          <w:rFonts w:asciiTheme="minorHAnsi" w:hAnsiTheme="minorHAnsi" w:cstheme="minorHAnsi"/>
          <w:szCs w:val="21"/>
        </w:rPr>
        <w:t>‘</w:t>
      </w:r>
      <w:r w:rsidRPr="000D6BEA">
        <w:rPr>
          <w:rFonts w:asciiTheme="minorHAnsi" w:hAnsiTheme="minorHAnsi" w:cstheme="minorHAnsi"/>
          <w:szCs w:val="21"/>
        </w:rPr>
        <w:t>boss</w:t>
      </w:r>
      <w:r w:rsidR="00514E8A" w:rsidRPr="000D6BEA">
        <w:rPr>
          <w:rFonts w:asciiTheme="minorHAnsi" w:hAnsiTheme="minorHAnsi" w:cstheme="minorHAnsi"/>
          <w:szCs w:val="21"/>
        </w:rPr>
        <w:t>’</w:t>
      </w:r>
      <w:r w:rsidRPr="000D6BEA">
        <w:rPr>
          <w:rFonts w:asciiTheme="minorHAnsi" w:hAnsiTheme="minorHAnsi" w:cstheme="minorHAnsi"/>
          <w:szCs w:val="21"/>
        </w:rPr>
        <w:t>, with outcomes that suit that person</w:t>
      </w:r>
      <w:r w:rsidR="00514E8A" w:rsidRPr="000D6BEA">
        <w:rPr>
          <w:rFonts w:asciiTheme="minorHAnsi" w:hAnsiTheme="minorHAnsi" w:cstheme="minorHAnsi"/>
          <w:szCs w:val="21"/>
        </w:rPr>
        <w:t>”</w:t>
      </w:r>
      <w:r w:rsidRPr="000D6BEA">
        <w:rPr>
          <w:rFonts w:asciiTheme="minorHAnsi" w:hAnsiTheme="minorHAnsi" w:cstheme="minorHAnsi"/>
          <w:szCs w:val="21"/>
        </w:rPr>
        <w:t xml:space="preserve"> (p.</w:t>
      </w:r>
      <w:r w:rsidR="00514E8A" w:rsidRPr="000D6BEA">
        <w:rPr>
          <w:rFonts w:asciiTheme="minorHAnsi" w:hAnsiTheme="minorHAnsi" w:cstheme="minorHAnsi"/>
          <w:szCs w:val="21"/>
        </w:rPr>
        <w:t xml:space="preserve"> </w:t>
      </w:r>
      <w:r w:rsidRPr="000D6BEA">
        <w:rPr>
          <w:rFonts w:asciiTheme="minorHAnsi" w:hAnsiTheme="minorHAnsi" w:cstheme="minorHAnsi"/>
          <w:szCs w:val="21"/>
        </w:rPr>
        <w:t>125)</w:t>
      </w:r>
    </w:p>
    <w:p w14:paraId="4A8ACE0C" w14:textId="77777777" w:rsidR="00875BDE" w:rsidRPr="000D6BEA" w:rsidRDefault="00875BDE" w:rsidP="000D6BEA">
      <w:pPr>
        <w:pStyle w:val="ListParagraph"/>
        <w:numPr>
          <w:ilvl w:val="0"/>
          <w:numId w:val="59"/>
        </w:numPr>
        <w:autoSpaceDE w:val="0"/>
        <w:autoSpaceDN w:val="0"/>
        <w:adjustRightInd w:val="0"/>
        <w:spacing w:line="276" w:lineRule="auto"/>
        <w:rPr>
          <w:rFonts w:asciiTheme="minorHAnsi" w:hAnsiTheme="minorHAnsi" w:cstheme="minorHAnsi"/>
          <w:szCs w:val="21"/>
        </w:rPr>
      </w:pPr>
      <w:r w:rsidRPr="000D6BEA">
        <w:rPr>
          <w:rFonts w:asciiTheme="minorHAnsi" w:hAnsiTheme="minorHAnsi" w:cstheme="minorHAnsi"/>
          <w:szCs w:val="21"/>
        </w:rPr>
        <w:lastRenderedPageBreak/>
        <w:t xml:space="preserve">generating some form of </w:t>
      </w:r>
      <w:r w:rsidRPr="000D6BEA">
        <w:rPr>
          <w:rFonts w:asciiTheme="minorHAnsi" w:hAnsiTheme="minorHAnsi" w:cstheme="minorHAnsi"/>
          <w:b/>
          <w:bCs/>
          <w:szCs w:val="21"/>
        </w:rPr>
        <w:t>income</w:t>
      </w:r>
      <w:r w:rsidRPr="000D6BEA">
        <w:rPr>
          <w:rFonts w:asciiTheme="minorHAnsi" w:hAnsiTheme="minorHAnsi" w:cstheme="minorHAnsi"/>
          <w:szCs w:val="21"/>
        </w:rPr>
        <w:t xml:space="preserve"> for the individual or business </w:t>
      </w:r>
    </w:p>
    <w:p w14:paraId="4A0F6F4F" w14:textId="5324C07D" w:rsidR="00875BDE" w:rsidRPr="000D6BEA" w:rsidRDefault="00875BDE" w:rsidP="000D6BEA">
      <w:pPr>
        <w:pStyle w:val="ListParagraph"/>
        <w:numPr>
          <w:ilvl w:val="0"/>
          <w:numId w:val="55"/>
        </w:numPr>
        <w:autoSpaceDE w:val="0"/>
        <w:autoSpaceDN w:val="0"/>
        <w:adjustRightInd w:val="0"/>
        <w:spacing w:line="276" w:lineRule="auto"/>
        <w:rPr>
          <w:rFonts w:asciiTheme="minorHAnsi" w:hAnsiTheme="minorHAnsi" w:cstheme="minorHAnsi"/>
          <w:szCs w:val="21"/>
        </w:rPr>
      </w:pPr>
      <w:r w:rsidRPr="000D6BEA">
        <w:rPr>
          <w:rFonts w:asciiTheme="minorHAnsi" w:hAnsiTheme="minorHAnsi" w:cstheme="minorHAnsi"/>
          <w:szCs w:val="21"/>
        </w:rPr>
        <w:t xml:space="preserve">the </w:t>
      </w:r>
      <w:r w:rsidRPr="000D6BEA">
        <w:rPr>
          <w:rFonts w:asciiTheme="minorHAnsi" w:hAnsiTheme="minorHAnsi" w:cstheme="minorHAnsi"/>
          <w:b/>
          <w:bCs/>
          <w:szCs w:val="21"/>
        </w:rPr>
        <w:t>business is genuine</w:t>
      </w:r>
      <w:r w:rsidRPr="000D6BEA">
        <w:rPr>
          <w:rFonts w:asciiTheme="minorHAnsi" w:hAnsiTheme="minorHAnsi" w:cstheme="minorHAnsi"/>
          <w:szCs w:val="21"/>
        </w:rPr>
        <w:t xml:space="preserve">: </w:t>
      </w:r>
      <w:r w:rsidR="00514E8A" w:rsidRPr="000D6BEA">
        <w:rPr>
          <w:rFonts w:asciiTheme="minorHAnsi" w:hAnsiTheme="minorHAnsi" w:cstheme="minorHAnsi"/>
          <w:szCs w:val="21"/>
        </w:rPr>
        <w:t>“</w:t>
      </w:r>
      <w:r w:rsidRPr="000D6BEA">
        <w:rPr>
          <w:rFonts w:asciiTheme="minorHAnsi" w:hAnsiTheme="minorHAnsi" w:cstheme="minorHAnsi"/>
          <w:szCs w:val="21"/>
        </w:rPr>
        <w:t>offering a real service that is reliable and fulfils a specific need for the clients</w:t>
      </w:r>
      <w:r w:rsidR="00514E8A" w:rsidRPr="000D6BEA">
        <w:rPr>
          <w:rFonts w:asciiTheme="minorHAnsi" w:hAnsiTheme="minorHAnsi" w:cstheme="minorHAnsi"/>
          <w:szCs w:val="21"/>
        </w:rPr>
        <w:t>”</w:t>
      </w:r>
      <w:r w:rsidRPr="000D6BEA">
        <w:rPr>
          <w:rFonts w:asciiTheme="minorHAnsi" w:hAnsiTheme="minorHAnsi" w:cstheme="minorHAnsi"/>
          <w:szCs w:val="21"/>
        </w:rPr>
        <w:t>, even if with high levels of support from others (</w:t>
      </w:r>
      <w:proofErr w:type="spellStart"/>
      <w:r w:rsidRPr="000D6BEA">
        <w:rPr>
          <w:rFonts w:asciiTheme="minorHAnsi" w:hAnsiTheme="minorHAnsi" w:cstheme="minorHAnsi"/>
          <w:szCs w:val="21"/>
        </w:rPr>
        <w:t>Thoresen</w:t>
      </w:r>
      <w:proofErr w:type="spellEnd"/>
      <w:r w:rsidRPr="000D6BEA">
        <w:rPr>
          <w:rFonts w:asciiTheme="minorHAnsi" w:hAnsiTheme="minorHAnsi" w:cstheme="minorHAnsi"/>
          <w:szCs w:val="21"/>
        </w:rPr>
        <w:t xml:space="preserve"> et al., 2018, p. 167; Bates, 2009)</w:t>
      </w:r>
    </w:p>
    <w:p w14:paraId="4D2E1871" w14:textId="77777777" w:rsidR="00875BDE" w:rsidRPr="000D6BEA" w:rsidRDefault="00875BDE" w:rsidP="000D6BEA">
      <w:pPr>
        <w:pStyle w:val="ListParagraph"/>
        <w:numPr>
          <w:ilvl w:val="0"/>
          <w:numId w:val="55"/>
        </w:numPr>
        <w:autoSpaceDE w:val="0"/>
        <w:autoSpaceDN w:val="0"/>
        <w:adjustRightInd w:val="0"/>
        <w:spacing w:line="276" w:lineRule="auto"/>
        <w:rPr>
          <w:rFonts w:asciiTheme="minorHAnsi" w:hAnsiTheme="minorHAnsi" w:cstheme="minorHAnsi"/>
          <w:szCs w:val="21"/>
        </w:rPr>
      </w:pPr>
      <w:r w:rsidRPr="000D6BEA">
        <w:rPr>
          <w:rFonts w:asciiTheme="minorHAnsi" w:hAnsiTheme="minorHAnsi" w:cstheme="minorHAnsi"/>
          <w:szCs w:val="21"/>
        </w:rPr>
        <w:t xml:space="preserve">strong </w:t>
      </w:r>
      <w:r w:rsidRPr="000D6BEA">
        <w:rPr>
          <w:rFonts w:asciiTheme="minorHAnsi" w:hAnsiTheme="minorHAnsi" w:cstheme="minorHAnsi"/>
          <w:b/>
          <w:bCs/>
          <w:szCs w:val="21"/>
        </w:rPr>
        <w:t>leadership</w:t>
      </w:r>
    </w:p>
    <w:p w14:paraId="7C6C92B8" w14:textId="77777777" w:rsidR="00875BDE" w:rsidRPr="000D6BEA" w:rsidRDefault="00875BDE" w:rsidP="000D6BEA">
      <w:pPr>
        <w:pStyle w:val="ListParagraph"/>
        <w:numPr>
          <w:ilvl w:val="0"/>
          <w:numId w:val="55"/>
        </w:numPr>
        <w:autoSpaceDE w:val="0"/>
        <w:autoSpaceDN w:val="0"/>
        <w:adjustRightInd w:val="0"/>
        <w:spacing w:line="276" w:lineRule="auto"/>
        <w:rPr>
          <w:rFonts w:asciiTheme="minorHAnsi" w:hAnsiTheme="minorHAnsi" w:cstheme="minorHAnsi"/>
          <w:szCs w:val="21"/>
        </w:rPr>
      </w:pPr>
      <w:r w:rsidRPr="000D6BEA">
        <w:rPr>
          <w:rFonts w:asciiTheme="minorHAnsi" w:hAnsiTheme="minorHAnsi" w:cstheme="minorHAnsi"/>
          <w:b/>
          <w:bCs/>
          <w:szCs w:val="21"/>
        </w:rPr>
        <w:t>strength-based</w:t>
      </w:r>
      <w:r w:rsidRPr="000D6BEA">
        <w:rPr>
          <w:rFonts w:asciiTheme="minorHAnsi" w:hAnsiTheme="minorHAnsi" w:cstheme="minorHAnsi"/>
          <w:szCs w:val="21"/>
        </w:rPr>
        <w:t xml:space="preserve"> approaches</w:t>
      </w:r>
    </w:p>
    <w:p w14:paraId="6C459DB8" w14:textId="77777777" w:rsidR="00875BDE" w:rsidRPr="000D6BEA" w:rsidRDefault="00875BDE" w:rsidP="000D6BEA">
      <w:pPr>
        <w:pStyle w:val="ListParagraph"/>
        <w:numPr>
          <w:ilvl w:val="0"/>
          <w:numId w:val="55"/>
        </w:numPr>
        <w:autoSpaceDE w:val="0"/>
        <w:autoSpaceDN w:val="0"/>
        <w:adjustRightInd w:val="0"/>
        <w:spacing w:line="276" w:lineRule="auto"/>
        <w:rPr>
          <w:rFonts w:asciiTheme="minorHAnsi" w:hAnsiTheme="minorHAnsi" w:cstheme="minorHAnsi"/>
          <w:szCs w:val="21"/>
        </w:rPr>
      </w:pPr>
      <w:r w:rsidRPr="000D6BEA">
        <w:rPr>
          <w:rFonts w:asciiTheme="minorHAnsi" w:hAnsiTheme="minorHAnsi" w:cstheme="minorHAnsi"/>
          <w:szCs w:val="21"/>
        </w:rPr>
        <w:t xml:space="preserve">an emphasis on </w:t>
      </w:r>
      <w:r w:rsidRPr="000D6BEA">
        <w:rPr>
          <w:rFonts w:asciiTheme="minorHAnsi" w:hAnsiTheme="minorHAnsi" w:cstheme="minorHAnsi"/>
          <w:b/>
          <w:bCs/>
          <w:szCs w:val="21"/>
        </w:rPr>
        <w:t>social inclusion</w:t>
      </w:r>
    </w:p>
    <w:p w14:paraId="45C085DE" w14:textId="77777777" w:rsidR="00875BDE" w:rsidRPr="000D6BEA" w:rsidRDefault="00875BDE" w:rsidP="000D6BEA">
      <w:pPr>
        <w:pStyle w:val="ListParagraph"/>
        <w:numPr>
          <w:ilvl w:val="0"/>
          <w:numId w:val="55"/>
        </w:numPr>
        <w:autoSpaceDE w:val="0"/>
        <w:autoSpaceDN w:val="0"/>
        <w:adjustRightInd w:val="0"/>
        <w:spacing w:line="276" w:lineRule="auto"/>
        <w:rPr>
          <w:rFonts w:asciiTheme="minorHAnsi" w:hAnsiTheme="minorHAnsi" w:cstheme="minorHAnsi"/>
          <w:szCs w:val="21"/>
        </w:rPr>
      </w:pPr>
      <w:r w:rsidRPr="000D6BEA">
        <w:rPr>
          <w:rFonts w:asciiTheme="minorHAnsi" w:hAnsiTheme="minorHAnsi" w:cstheme="minorHAnsi"/>
          <w:szCs w:val="21"/>
        </w:rPr>
        <w:t xml:space="preserve">some degree of </w:t>
      </w:r>
      <w:r w:rsidRPr="000D6BEA">
        <w:rPr>
          <w:rFonts w:asciiTheme="minorHAnsi" w:hAnsiTheme="minorHAnsi" w:cstheme="minorHAnsi"/>
          <w:b/>
          <w:bCs/>
          <w:szCs w:val="21"/>
        </w:rPr>
        <w:t>control by the person with intellectual disability</w:t>
      </w:r>
      <w:r w:rsidRPr="000D6BEA">
        <w:rPr>
          <w:rFonts w:asciiTheme="minorHAnsi" w:hAnsiTheme="minorHAnsi" w:cstheme="minorHAnsi"/>
          <w:szCs w:val="21"/>
        </w:rPr>
        <w:t xml:space="preserve"> and/or their supporters. Some examples document the role of support workers in actively working to support this (</w:t>
      </w:r>
      <w:proofErr w:type="spellStart"/>
      <w:r w:rsidRPr="000D6BEA">
        <w:rPr>
          <w:rFonts w:asciiTheme="minorHAnsi" w:hAnsiTheme="minorHAnsi" w:cstheme="minorHAnsi"/>
          <w:szCs w:val="21"/>
        </w:rPr>
        <w:t>Hagner</w:t>
      </w:r>
      <w:proofErr w:type="spellEnd"/>
      <w:r w:rsidRPr="000D6BEA">
        <w:rPr>
          <w:rFonts w:asciiTheme="minorHAnsi" w:hAnsiTheme="minorHAnsi" w:cstheme="minorHAnsi"/>
          <w:szCs w:val="21"/>
        </w:rPr>
        <w:t xml:space="preserve"> &amp; Davies, 2002)  </w:t>
      </w:r>
    </w:p>
    <w:p w14:paraId="05DC7064" w14:textId="77777777" w:rsidR="00875BDE" w:rsidRPr="000D6BEA" w:rsidRDefault="00875BDE" w:rsidP="000D6BEA">
      <w:pPr>
        <w:pStyle w:val="ListParagraph"/>
        <w:numPr>
          <w:ilvl w:val="0"/>
          <w:numId w:val="55"/>
        </w:numPr>
        <w:autoSpaceDE w:val="0"/>
        <w:autoSpaceDN w:val="0"/>
        <w:adjustRightInd w:val="0"/>
        <w:spacing w:line="276" w:lineRule="auto"/>
        <w:rPr>
          <w:rFonts w:asciiTheme="minorHAnsi" w:hAnsiTheme="minorHAnsi" w:cstheme="minorHAnsi"/>
          <w:szCs w:val="21"/>
        </w:rPr>
      </w:pPr>
      <w:r w:rsidRPr="000D6BEA">
        <w:rPr>
          <w:rFonts w:asciiTheme="minorHAnsi" w:hAnsiTheme="minorHAnsi" w:cstheme="minorHAnsi"/>
          <w:szCs w:val="21"/>
        </w:rPr>
        <w:t xml:space="preserve">often supported by </w:t>
      </w:r>
      <w:r w:rsidRPr="000D6BEA">
        <w:rPr>
          <w:rFonts w:asciiTheme="minorHAnsi" w:hAnsiTheme="minorHAnsi" w:cstheme="minorHAnsi"/>
          <w:b/>
          <w:bCs/>
          <w:szCs w:val="21"/>
        </w:rPr>
        <w:t>individual funding arrangements</w:t>
      </w:r>
      <w:r w:rsidRPr="000D6BEA">
        <w:rPr>
          <w:rFonts w:asciiTheme="minorHAnsi" w:hAnsiTheme="minorHAnsi" w:cstheme="minorHAnsi"/>
          <w:szCs w:val="21"/>
        </w:rPr>
        <w:t>, such as the NDIS</w:t>
      </w:r>
    </w:p>
    <w:p w14:paraId="78C755B4" w14:textId="16A59527" w:rsidR="00875BDE" w:rsidRPr="000D6BEA" w:rsidRDefault="00875BDE" w:rsidP="000D6BEA">
      <w:pPr>
        <w:pStyle w:val="ListParagraph"/>
        <w:numPr>
          <w:ilvl w:val="0"/>
          <w:numId w:val="55"/>
        </w:numPr>
        <w:autoSpaceDE w:val="0"/>
        <w:autoSpaceDN w:val="0"/>
        <w:adjustRightInd w:val="0"/>
        <w:spacing w:line="276" w:lineRule="auto"/>
        <w:rPr>
          <w:rFonts w:asciiTheme="minorHAnsi" w:hAnsiTheme="minorHAnsi" w:cstheme="minorHAnsi"/>
          <w:szCs w:val="21"/>
        </w:rPr>
      </w:pPr>
      <w:r w:rsidRPr="000D6BEA">
        <w:rPr>
          <w:rFonts w:asciiTheme="minorHAnsi" w:hAnsiTheme="minorHAnsi" w:cstheme="minorHAnsi"/>
          <w:szCs w:val="21"/>
        </w:rPr>
        <w:t xml:space="preserve">have a </w:t>
      </w:r>
      <w:r w:rsidRPr="000D6BEA">
        <w:rPr>
          <w:rFonts w:asciiTheme="minorHAnsi" w:hAnsiTheme="minorHAnsi" w:cstheme="minorHAnsi"/>
          <w:b/>
          <w:bCs/>
          <w:szCs w:val="21"/>
        </w:rPr>
        <w:t>range of supports</w:t>
      </w:r>
      <w:r w:rsidRPr="000D6BEA">
        <w:rPr>
          <w:rFonts w:asciiTheme="minorHAnsi" w:hAnsiTheme="minorHAnsi" w:cstheme="minorHAnsi"/>
          <w:szCs w:val="21"/>
        </w:rPr>
        <w:t xml:space="preserve"> in place, </w:t>
      </w:r>
      <w:r w:rsidR="00E56585" w:rsidRPr="000D6BEA">
        <w:rPr>
          <w:rFonts w:asciiTheme="minorHAnsi" w:hAnsiTheme="minorHAnsi" w:cstheme="minorHAnsi"/>
          <w:szCs w:val="21"/>
        </w:rPr>
        <w:t>“</w:t>
      </w:r>
      <w:r w:rsidRPr="000D6BEA">
        <w:rPr>
          <w:rFonts w:asciiTheme="minorHAnsi" w:hAnsiTheme="minorHAnsi" w:cstheme="minorHAnsi"/>
          <w:szCs w:val="21"/>
        </w:rPr>
        <w:t xml:space="preserve">formal [i.e. disability and business supports] and informal [i.e. family and friends] </w:t>
      </w:r>
      <w:r w:rsidR="00E56585" w:rsidRPr="000D6BEA">
        <w:rPr>
          <w:rFonts w:asciiTheme="minorHAnsi" w:hAnsiTheme="minorHAnsi" w:cstheme="minorHAnsi"/>
          <w:szCs w:val="21"/>
        </w:rPr>
        <w:t>…</w:t>
      </w:r>
      <w:r w:rsidRPr="000D6BEA">
        <w:rPr>
          <w:rFonts w:asciiTheme="minorHAnsi" w:hAnsiTheme="minorHAnsi" w:cstheme="minorHAnsi"/>
          <w:szCs w:val="21"/>
        </w:rPr>
        <w:t xml:space="preserve"> [which are] flexible and creative in the way they function</w:t>
      </w:r>
      <w:r w:rsidR="00E56585" w:rsidRPr="000D6BEA">
        <w:rPr>
          <w:rFonts w:asciiTheme="minorHAnsi" w:hAnsiTheme="minorHAnsi" w:cstheme="minorHAnsi"/>
          <w:szCs w:val="21"/>
        </w:rPr>
        <w:t>”</w:t>
      </w:r>
      <w:r w:rsidRPr="000D6BEA">
        <w:rPr>
          <w:rFonts w:asciiTheme="minorHAnsi" w:hAnsiTheme="minorHAnsi" w:cstheme="minorHAnsi"/>
          <w:szCs w:val="21"/>
        </w:rPr>
        <w:t xml:space="preserve"> (</w:t>
      </w:r>
      <w:proofErr w:type="spellStart"/>
      <w:r w:rsidRPr="000D6BEA">
        <w:rPr>
          <w:rFonts w:asciiTheme="minorHAnsi" w:hAnsiTheme="minorHAnsi" w:cstheme="minorHAnsi"/>
          <w:szCs w:val="21"/>
        </w:rPr>
        <w:t>Thoresen</w:t>
      </w:r>
      <w:proofErr w:type="spellEnd"/>
      <w:r w:rsidRPr="000D6BEA">
        <w:rPr>
          <w:rFonts w:asciiTheme="minorHAnsi" w:hAnsiTheme="minorHAnsi" w:cstheme="minorHAnsi"/>
          <w:szCs w:val="21"/>
        </w:rPr>
        <w:t xml:space="preserve"> et al., 2018, p. 167).</w:t>
      </w:r>
    </w:p>
    <w:p w14:paraId="122FD38E" w14:textId="77777777" w:rsidR="00875BDE" w:rsidRPr="000D6BEA" w:rsidRDefault="00875BDE" w:rsidP="000D6BEA">
      <w:pPr>
        <w:autoSpaceDE w:val="0"/>
        <w:autoSpaceDN w:val="0"/>
        <w:adjustRightInd w:val="0"/>
        <w:spacing w:line="276" w:lineRule="auto"/>
        <w:rPr>
          <w:rFonts w:asciiTheme="minorHAnsi" w:hAnsiTheme="minorHAnsi" w:cstheme="minorHAnsi"/>
          <w:szCs w:val="21"/>
        </w:rPr>
      </w:pPr>
      <w:r w:rsidRPr="000D6BEA">
        <w:rPr>
          <w:rFonts w:asciiTheme="minorHAnsi" w:hAnsiTheme="minorHAnsi" w:cstheme="minorHAnsi"/>
          <w:szCs w:val="21"/>
        </w:rPr>
        <w:t>Microenterprises involving people with intellectual disability or those with high support needs have included a range of business focuses including:</w:t>
      </w:r>
    </w:p>
    <w:p w14:paraId="4FD3971F" w14:textId="77777777" w:rsidR="00875BDE" w:rsidRPr="000D6BEA" w:rsidRDefault="00875BDE" w:rsidP="000D6BEA">
      <w:pPr>
        <w:pStyle w:val="ListParagraph"/>
        <w:numPr>
          <w:ilvl w:val="0"/>
          <w:numId w:val="56"/>
        </w:numPr>
        <w:autoSpaceDE w:val="0"/>
        <w:autoSpaceDN w:val="0"/>
        <w:adjustRightInd w:val="0"/>
        <w:spacing w:line="276" w:lineRule="auto"/>
        <w:rPr>
          <w:rFonts w:asciiTheme="minorHAnsi" w:hAnsiTheme="minorHAnsi" w:cstheme="minorHAnsi"/>
          <w:szCs w:val="21"/>
        </w:rPr>
      </w:pPr>
      <w:r w:rsidRPr="000D6BEA">
        <w:rPr>
          <w:rFonts w:asciiTheme="minorHAnsi" w:hAnsiTheme="minorHAnsi" w:cstheme="minorHAnsi"/>
          <w:szCs w:val="21"/>
        </w:rPr>
        <w:t xml:space="preserve">advocacy, </w:t>
      </w:r>
    </w:p>
    <w:p w14:paraId="0359645F" w14:textId="77777777" w:rsidR="00875BDE" w:rsidRPr="000D6BEA" w:rsidRDefault="00875BDE" w:rsidP="000D6BEA">
      <w:pPr>
        <w:pStyle w:val="ListParagraph"/>
        <w:numPr>
          <w:ilvl w:val="0"/>
          <w:numId w:val="56"/>
        </w:numPr>
        <w:autoSpaceDE w:val="0"/>
        <w:autoSpaceDN w:val="0"/>
        <w:adjustRightInd w:val="0"/>
        <w:spacing w:line="276" w:lineRule="auto"/>
        <w:rPr>
          <w:rFonts w:asciiTheme="minorHAnsi" w:hAnsiTheme="minorHAnsi" w:cstheme="minorHAnsi"/>
          <w:szCs w:val="21"/>
        </w:rPr>
      </w:pPr>
      <w:r w:rsidRPr="000D6BEA">
        <w:rPr>
          <w:rFonts w:asciiTheme="minorHAnsi" w:hAnsiTheme="minorHAnsi" w:cstheme="minorHAnsi"/>
          <w:szCs w:val="21"/>
        </w:rPr>
        <w:t xml:space="preserve">public speaking, </w:t>
      </w:r>
    </w:p>
    <w:p w14:paraId="176C3767" w14:textId="77777777" w:rsidR="00875BDE" w:rsidRPr="000D6BEA" w:rsidRDefault="00875BDE" w:rsidP="000D6BEA">
      <w:pPr>
        <w:pStyle w:val="ListParagraph"/>
        <w:numPr>
          <w:ilvl w:val="0"/>
          <w:numId w:val="56"/>
        </w:numPr>
        <w:autoSpaceDE w:val="0"/>
        <w:autoSpaceDN w:val="0"/>
        <w:adjustRightInd w:val="0"/>
        <w:spacing w:line="276" w:lineRule="auto"/>
        <w:rPr>
          <w:rFonts w:asciiTheme="minorHAnsi" w:hAnsiTheme="minorHAnsi" w:cstheme="minorHAnsi"/>
          <w:szCs w:val="21"/>
        </w:rPr>
      </w:pPr>
      <w:r w:rsidRPr="000D6BEA">
        <w:rPr>
          <w:rFonts w:asciiTheme="minorHAnsi" w:hAnsiTheme="minorHAnsi" w:cstheme="minorHAnsi"/>
          <w:szCs w:val="21"/>
        </w:rPr>
        <w:t>website development,</w:t>
      </w:r>
    </w:p>
    <w:p w14:paraId="2D96284F" w14:textId="77777777" w:rsidR="00875BDE" w:rsidRPr="000D6BEA" w:rsidRDefault="00875BDE" w:rsidP="000D6BEA">
      <w:pPr>
        <w:pStyle w:val="ListParagraph"/>
        <w:numPr>
          <w:ilvl w:val="0"/>
          <w:numId w:val="56"/>
        </w:numPr>
        <w:autoSpaceDE w:val="0"/>
        <w:autoSpaceDN w:val="0"/>
        <w:adjustRightInd w:val="0"/>
        <w:spacing w:line="276" w:lineRule="auto"/>
        <w:rPr>
          <w:rFonts w:asciiTheme="minorHAnsi" w:hAnsiTheme="minorHAnsi" w:cstheme="minorHAnsi"/>
          <w:szCs w:val="21"/>
        </w:rPr>
      </w:pPr>
      <w:r w:rsidRPr="000D6BEA">
        <w:rPr>
          <w:rFonts w:asciiTheme="minorHAnsi" w:hAnsiTheme="minorHAnsi" w:cstheme="minorHAnsi"/>
          <w:szCs w:val="21"/>
        </w:rPr>
        <w:t xml:space="preserve">software consultancy, </w:t>
      </w:r>
    </w:p>
    <w:p w14:paraId="749539E2" w14:textId="77777777" w:rsidR="00875BDE" w:rsidRPr="000D6BEA" w:rsidRDefault="00875BDE" w:rsidP="000D6BEA">
      <w:pPr>
        <w:pStyle w:val="ListParagraph"/>
        <w:numPr>
          <w:ilvl w:val="0"/>
          <w:numId w:val="56"/>
        </w:numPr>
        <w:autoSpaceDE w:val="0"/>
        <w:autoSpaceDN w:val="0"/>
        <w:adjustRightInd w:val="0"/>
        <w:spacing w:line="276" w:lineRule="auto"/>
        <w:rPr>
          <w:rFonts w:asciiTheme="minorHAnsi" w:hAnsiTheme="minorHAnsi" w:cstheme="minorHAnsi"/>
          <w:szCs w:val="21"/>
        </w:rPr>
      </w:pPr>
      <w:r w:rsidRPr="000D6BEA">
        <w:rPr>
          <w:rFonts w:asciiTheme="minorHAnsi" w:hAnsiTheme="minorHAnsi" w:cstheme="minorHAnsi"/>
          <w:szCs w:val="21"/>
        </w:rPr>
        <w:t xml:space="preserve">pottery, </w:t>
      </w:r>
    </w:p>
    <w:p w14:paraId="1BDA957B" w14:textId="77777777" w:rsidR="00875BDE" w:rsidRPr="000D6BEA" w:rsidRDefault="00875BDE" w:rsidP="000D6BEA">
      <w:pPr>
        <w:pStyle w:val="ListParagraph"/>
        <w:numPr>
          <w:ilvl w:val="0"/>
          <w:numId w:val="56"/>
        </w:numPr>
        <w:autoSpaceDE w:val="0"/>
        <w:autoSpaceDN w:val="0"/>
        <w:adjustRightInd w:val="0"/>
        <w:spacing w:line="276" w:lineRule="auto"/>
        <w:rPr>
          <w:rFonts w:asciiTheme="minorHAnsi" w:hAnsiTheme="minorHAnsi" w:cstheme="minorHAnsi"/>
          <w:szCs w:val="21"/>
        </w:rPr>
      </w:pPr>
      <w:r w:rsidRPr="000D6BEA">
        <w:rPr>
          <w:rFonts w:asciiTheme="minorHAnsi" w:hAnsiTheme="minorHAnsi" w:cstheme="minorHAnsi"/>
          <w:szCs w:val="21"/>
        </w:rPr>
        <w:t>artwork (McNaughton et al., 2006)</w:t>
      </w:r>
    </w:p>
    <w:p w14:paraId="2BA54542" w14:textId="77777777" w:rsidR="00875BDE" w:rsidRPr="000D6BEA" w:rsidRDefault="00875BDE" w:rsidP="000D6BEA">
      <w:pPr>
        <w:pStyle w:val="ListParagraph"/>
        <w:numPr>
          <w:ilvl w:val="0"/>
          <w:numId w:val="56"/>
        </w:numPr>
        <w:autoSpaceDE w:val="0"/>
        <w:autoSpaceDN w:val="0"/>
        <w:adjustRightInd w:val="0"/>
        <w:spacing w:line="276" w:lineRule="auto"/>
        <w:rPr>
          <w:rFonts w:asciiTheme="minorHAnsi" w:hAnsiTheme="minorHAnsi" w:cstheme="minorHAnsi"/>
          <w:szCs w:val="21"/>
        </w:rPr>
      </w:pPr>
      <w:r w:rsidRPr="000D6BEA">
        <w:rPr>
          <w:rFonts w:asciiTheme="minorHAnsi" w:hAnsiTheme="minorHAnsi" w:cstheme="minorHAnsi"/>
          <w:szCs w:val="21"/>
        </w:rPr>
        <w:t xml:space="preserve">personal services (e.g. household tasks including waiting for tradespeople) </w:t>
      </w:r>
    </w:p>
    <w:p w14:paraId="7E5EC9F1" w14:textId="77777777" w:rsidR="00875BDE" w:rsidRPr="000D6BEA" w:rsidRDefault="00875BDE" w:rsidP="000D6BEA">
      <w:pPr>
        <w:pStyle w:val="ListParagraph"/>
        <w:numPr>
          <w:ilvl w:val="0"/>
          <w:numId w:val="56"/>
        </w:numPr>
        <w:autoSpaceDE w:val="0"/>
        <w:autoSpaceDN w:val="0"/>
        <w:adjustRightInd w:val="0"/>
        <w:spacing w:line="276" w:lineRule="auto"/>
        <w:rPr>
          <w:rFonts w:asciiTheme="minorHAnsi" w:hAnsiTheme="minorHAnsi" w:cstheme="minorHAnsi"/>
          <w:szCs w:val="21"/>
        </w:rPr>
      </w:pPr>
      <w:r w:rsidRPr="000D6BEA">
        <w:rPr>
          <w:rFonts w:asciiTheme="minorHAnsi" w:hAnsiTheme="minorHAnsi" w:cstheme="minorHAnsi"/>
          <w:szCs w:val="21"/>
        </w:rPr>
        <w:t xml:space="preserve">courier service </w:t>
      </w:r>
    </w:p>
    <w:p w14:paraId="15762202" w14:textId="77777777" w:rsidR="00875BDE" w:rsidRPr="000D6BEA" w:rsidRDefault="00875BDE" w:rsidP="000D6BEA">
      <w:pPr>
        <w:pStyle w:val="ListParagraph"/>
        <w:numPr>
          <w:ilvl w:val="0"/>
          <w:numId w:val="56"/>
        </w:numPr>
        <w:autoSpaceDE w:val="0"/>
        <w:autoSpaceDN w:val="0"/>
        <w:adjustRightInd w:val="0"/>
        <w:spacing w:line="276" w:lineRule="auto"/>
        <w:rPr>
          <w:rFonts w:asciiTheme="minorHAnsi" w:hAnsiTheme="minorHAnsi" w:cstheme="minorHAnsi"/>
          <w:szCs w:val="21"/>
        </w:rPr>
      </w:pPr>
      <w:r w:rsidRPr="000D6BEA">
        <w:rPr>
          <w:rFonts w:asciiTheme="minorHAnsi" w:hAnsiTheme="minorHAnsi" w:cstheme="minorHAnsi"/>
          <w:szCs w:val="21"/>
        </w:rPr>
        <w:t xml:space="preserve">making useable products from recycled paper and plastics </w:t>
      </w:r>
    </w:p>
    <w:p w14:paraId="70035927" w14:textId="77777777" w:rsidR="00875BDE" w:rsidRPr="000D6BEA" w:rsidRDefault="00875BDE" w:rsidP="000D6BEA">
      <w:pPr>
        <w:pStyle w:val="ListParagraph"/>
        <w:numPr>
          <w:ilvl w:val="0"/>
          <w:numId w:val="56"/>
        </w:numPr>
        <w:autoSpaceDE w:val="0"/>
        <w:autoSpaceDN w:val="0"/>
        <w:adjustRightInd w:val="0"/>
        <w:spacing w:line="276" w:lineRule="auto"/>
        <w:rPr>
          <w:rFonts w:asciiTheme="minorHAnsi" w:hAnsiTheme="minorHAnsi" w:cstheme="minorHAnsi"/>
          <w:szCs w:val="21"/>
        </w:rPr>
      </w:pPr>
      <w:r w:rsidRPr="000D6BEA">
        <w:rPr>
          <w:rFonts w:asciiTheme="minorHAnsi" w:hAnsiTheme="minorHAnsi" w:cstheme="minorHAnsi"/>
          <w:szCs w:val="21"/>
        </w:rPr>
        <w:t>production and sale of birdseed (</w:t>
      </w:r>
      <w:proofErr w:type="spellStart"/>
      <w:r w:rsidRPr="000D6BEA">
        <w:rPr>
          <w:rFonts w:asciiTheme="minorHAnsi" w:hAnsiTheme="minorHAnsi" w:cstheme="minorHAnsi"/>
          <w:szCs w:val="21"/>
        </w:rPr>
        <w:t>Thoresen</w:t>
      </w:r>
      <w:proofErr w:type="spellEnd"/>
      <w:r w:rsidRPr="000D6BEA">
        <w:rPr>
          <w:rFonts w:asciiTheme="minorHAnsi" w:hAnsiTheme="minorHAnsi" w:cstheme="minorHAnsi"/>
          <w:szCs w:val="21"/>
        </w:rPr>
        <w:t xml:space="preserve"> et al., 2018)</w:t>
      </w:r>
    </w:p>
    <w:p w14:paraId="4B80105F" w14:textId="77777777" w:rsidR="00875BDE" w:rsidRPr="000D6BEA" w:rsidRDefault="00875BDE" w:rsidP="000D6BEA">
      <w:pPr>
        <w:pStyle w:val="ListParagraph"/>
        <w:numPr>
          <w:ilvl w:val="0"/>
          <w:numId w:val="56"/>
        </w:numPr>
        <w:autoSpaceDE w:val="0"/>
        <w:autoSpaceDN w:val="0"/>
        <w:adjustRightInd w:val="0"/>
        <w:spacing w:line="276" w:lineRule="auto"/>
        <w:rPr>
          <w:rFonts w:asciiTheme="minorHAnsi" w:hAnsiTheme="minorHAnsi" w:cstheme="minorHAnsi"/>
          <w:szCs w:val="21"/>
        </w:rPr>
      </w:pPr>
      <w:r w:rsidRPr="000D6BEA">
        <w:rPr>
          <w:rFonts w:asciiTheme="minorHAnsi" w:hAnsiTheme="minorHAnsi" w:cstheme="minorHAnsi"/>
          <w:szCs w:val="21"/>
        </w:rPr>
        <w:t>gardening</w:t>
      </w:r>
    </w:p>
    <w:p w14:paraId="0B00F93C" w14:textId="77777777" w:rsidR="00875BDE" w:rsidRPr="000D6BEA" w:rsidRDefault="00875BDE" w:rsidP="000D6BEA">
      <w:pPr>
        <w:pStyle w:val="ListParagraph"/>
        <w:numPr>
          <w:ilvl w:val="0"/>
          <w:numId w:val="56"/>
        </w:numPr>
        <w:autoSpaceDE w:val="0"/>
        <w:autoSpaceDN w:val="0"/>
        <w:adjustRightInd w:val="0"/>
        <w:spacing w:line="276" w:lineRule="auto"/>
        <w:rPr>
          <w:rFonts w:asciiTheme="minorHAnsi" w:hAnsiTheme="minorHAnsi" w:cstheme="minorHAnsi"/>
          <w:szCs w:val="21"/>
        </w:rPr>
      </w:pPr>
      <w:r w:rsidRPr="000D6BEA">
        <w:rPr>
          <w:rFonts w:asciiTheme="minorHAnsi" w:hAnsiTheme="minorHAnsi" w:cstheme="minorHAnsi"/>
          <w:szCs w:val="21"/>
        </w:rPr>
        <w:t>café</w:t>
      </w:r>
    </w:p>
    <w:p w14:paraId="3F663BC7" w14:textId="77777777" w:rsidR="00875BDE" w:rsidRPr="000D6BEA" w:rsidRDefault="00875BDE" w:rsidP="000D6BEA">
      <w:pPr>
        <w:pStyle w:val="ListParagraph"/>
        <w:numPr>
          <w:ilvl w:val="0"/>
          <w:numId w:val="56"/>
        </w:numPr>
        <w:autoSpaceDE w:val="0"/>
        <w:autoSpaceDN w:val="0"/>
        <w:adjustRightInd w:val="0"/>
        <w:spacing w:line="276" w:lineRule="auto"/>
        <w:rPr>
          <w:rFonts w:asciiTheme="minorHAnsi" w:hAnsiTheme="minorHAnsi" w:cstheme="minorHAnsi"/>
          <w:szCs w:val="21"/>
        </w:rPr>
      </w:pPr>
      <w:r w:rsidRPr="000D6BEA">
        <w:rPr>
          <w:rFonts w:asciiTheme="minorHAnsi" w:hAnsiTheme="minorHAnsi" w:cstheme="minorHAnsi"/>
          <w:szCs w:val="21"/>
        </w:rPr>
        <w:t>car washing</w:t>
      </w:r>
    </w:p>
    <w:p w14:paraId="501017FC" w14:textId="77777777" w:rsidR="00875BDE" w:rsidRPr="000D6BEA" w:rsidRDefault="00875BDE" w:rsidP="000D6BEA">
      <w:pPr>
        <w:pStyle w:val="ListParagraph"/>
        <w:numPr>
          <w:ilvl w:val="0"/>
          <w:numId w:val="56"/>
        </w:numPr>
        <w:autoSpaceDE w:val="0"/>
        <w:autoSpaceDN w:val="0"/>
        <w:adjustRightInd w:val="0"/>
        <w:spacing w:line="276" w:lineRule="auto"/>
        <w:rPr>
          <w:rFonts w:asciiTheme="minorHAnsi" w:hAnsiTheme="minorHAnsi" w:cstheme="minorHAnsi"/>
          <w:szCs w:val="21"/>
        </w:rPr>
      </w:pPr>
      <w:r w:rsidRPr="000D6BEA">
        <w:rPr>
          <w:rFonts w:asciiTheme="minorHAnsi" w:hAnsiTheme="minorHAnsi" w:cstheme="minorHAnsi"/>
          <w:szCs w:val="21"/>
        </w:rPr>
        <w:t>dance tuition</w:t>
      </w:r>
    </w:p>
    <w:p w14:paraId="0741CDF6" w14:textId="46C0227D" w:rsidR="00875BDE" w:rsidRPr="000D6BEA" w:rsidRDefault="00875BDE" w:rsidP="000D6BEA">
      <w:pPr>
        <w:pStyle w:val="ListParagraph"/>
        <w:numPr>
          <w:ilvl w:val="0"/>
          <w:numId w:val="56"/>
        </w:numPr>
        <w:autoSpaceDE w:val="0"/>
        <w:autoSpaceDN w:val="0"/>
        <w:adjustRightInd w:val="0"/>
        <w:spacing w:line="276" w:lineRule="auto"/>
        <w:rPr>
          <w:rFonts w:asciiTheme="minorHAnsi" w:hAnsiTheme="minorHAnsi" w:cstheme="minorHAnsi"/>
          <w:szCs w:val="21"/>
        </w:rPr>
      </w:pPr>
      <w:r w:rsidRPr="000D6BEA">
        <w:rPr>
          <w:rFonts w:asciiTheme="minorHAnsi" w:hAnsiTheme="minorHAnsi" w:cstheme="minorHAnsi"/>
          <w:szCs w:val="21"/>
        </w:rPr>
        <w:t xml:space="preserve">administration (Reddington </w:t>
      </w:r>
      <w:r w:rsidR="004F429D" w:rsidRPr="000D6BEA">
        <w:rPr>
          <w:rFonts w:asciiTheme="minorHAnsi" w:hAnsiTheme="minorHAnsi" w:cstheme="minorHAnsi"/>
          <w:szCs w:val="21"/>
        </w:rPr>
        <w:t>&amp;</w:t>
      </w:r>
      <w:r w:rsidRPr="000D6BEA">
        <w:rPr>
          <w:rFonts w:asciiTheme="minorHAnsi" w:hAnsiTheme="minorHAnsi" w:cstheme="minorHAnsi"/>
          <w:szCs w:val="21"/>
        </w:rPr>
        <w:t xml:space="preserve"> Fitzsimons, 2013).</w:t>
      </w:r>
    </w:p>
    <w:p w14:paraId="12B3C815" w14:textId="28CF13DA" w:rsidR="00875BDE" w:rsidRPr="000D6BEA" w:rsidRDefault="00875BDE" w:rsidP="000D6BEA">
      <w:pPr>
        <w:autoSpaceDE w:val="0"/>
        <w:autoSpaceDN w:val="0"/>
        <w:adjustRightInd w:val="0"/>
        <w:spacing w:line="276" w:lineRule="auto"/>
        <w:rPr>
          <w:rFonts w:asciiTheme="minorHAnsi" w:hAnsiTheme="minorHAnsi" w:cstheme="minorHAnsi"/>
          <w:szCs w:val="21"/>
        </w:rPr>
      </w:pPr>
      <w:r w:rsidRPr="000D6BEA">
        <w:rPr>
          <w:rFonts w:asciiTheme="minorHAnsi" w:hAnsiTheme="minorHAnsi" w:cstheme="minorHAnsi"/>
          <w:szCs w:val="21"/>
        </w:rPr>
        <w:t>Microenterprises involving people with intellectual disability are predominantly developed by parents.</w:t>
      </w:r>
    </w:p>
    <w:p w14:paraId="6CA4E84D" w14:textId="4DB3C539" w:rsidR="00875BDE" w:rsidRPr="000D6BEA" w:rsidRDefault="00875BDE" w:rsidP="000D6BEA">
      <w:pPr>
        <w:autoSpaceDE w:val="0"/>
        <w:autoSpaceDN w:val="0"/>
        <w:adjustRightInd w:val="0"/>
        <w:spacing w:line="276" w:lineRule="auto"/>
        <w:ind w:left="360" w:right="360"/>
        <w:rPr>
          <w:rFonts w:asciiTheme="minorHAnsi" w:hAnsiTheme="minorHAnsi" w:cstheme="minorHAnsi"/>
          <w:szCs w:val="21"/>
        </w:rPr>
      </w:pPr>
      <w:r w:rsidRPr="000D6BEA">
        <w:rPr>
          <w:rFonts w:asciiTheme="minorHAnsi" w:hAnsiTheme="minorHAnsi" w:cstheme="minorHAnsi"/>
          <w:szCs w:val="21"/>
        </w:rPr>
        <w:t>The substantial involvement of parents and other informal support in establishing and continuing SBEs [small business enterprises] exemplifies how SBE is different to self-employment. While the social and economic benefits of SBE and self-employment may be similar, the support structures vital to starting-up and continuing SBEs are distinctive (</w:t>
      </w:r>
      <w:proofErr w:type="spellStart"/>
      <w:r w:rsidRPr="000D6BEA">
        <w:rPr>
          <w:rFonts w:asciiTheme="minorHAnsi" w:hAnsiTheme="minorHAnsi" w:cstheme="minorHAnsi"/>
          <w:szCs w:val="21"/>
        </w:rPr>
        <w:t>Thoresen</w:t>
      </w:r>
      <w:proofErr w:type="spellEnd"/>
      <w:r w:rsidRPr="000D6BEA">
        <w:rPr>
          <w:rFonts w:asciiTheme="minorHAnsi" w:hAnsiTheme="minorHAnsi" w:cstheme="minorHAnsi"/>
          <w:szCs w:val="21"/>
        </w:rPr>
        <w:t xml:space="preserve"> et al., 2018, p.</w:t>
      </w:r>
      <w:r w:rsidR="00065F25" w:rsidRPr="000D6BEA">
        <w:rPr>
          <w:rFonts w:asciiTheme="minorHAnsi" w:hAnsiTheme="minorHAnsi" w:cstheme="minorHAnsi"/>
          <w:szCs w:val="21"/>
        </w:rPr>
        <w:t xml:space="preserve"> </w:t>
      </w:r>
      <w:r w:rsidRPr="000D6BEA">
        <w:rPr>
          <w:rFonts w:asciiTheme="minorHAnsi" w:hAnsiTheme="minorHAnsi" w:cstheme="minorHAnsi"/>
          <w:szCs w:val="21"/>
        </w:rPr>
        <w:t>170)</w:t>
      </w:r>
      <w:r w:rsidR="0011617C">
        <w:rPr>
          <w:rFonts w:asciiTheme="minorHAnsi" w:hAnsiTheme="minorHAnsi" w:cstheme="minorHAnsi"/>
          <w:szCs w:val="21"/>
        </w:rPr>
        <w:t>.</w:t>
      </w:r>
    </w:p>
    <w:p w14:paraId="37341409" w14:textId="2905EF0F" w:rsidR="00875BDE" w:rsidRPr="000D6BEA" w:rsidRDefault="00875BDE" w:rsidP="000D6BEA">
      <w:pPr>
        <w:autoSpaceDE w:val="0"/>
        <w:autoSpaceDN w:val="0"/>
        <w:adjustRightInd w:val="0"/>
        <w:spacing w:line="276" w:lineRule="auto"/>
        <w:rPr>
          <w:rFonts w:asciiTheme="minorHAnsi" w:hAnsiTheme="minorHAnsi" w:cstheme="minorHAnsi"/>
          <w:szCs w:val="21"/>
        </w:rPr>
      </w:pPr>
      <w:r w:rsidRPr="000D6BEA">
        <w:rPr>
          <w:rFonts w:asciiTheme="minorHAnsi" w:hAnsiTheme="minorHAnsi" w:cstheme="minorHAnsi"/>
          <w:szCs w:val="21"/>
        </w:rPr>
        <w:t>The rate of self-employment (entrepreneurship) among people with intellectual/cognitive disability in Australia is relatively high and estimated to be only 2.5% less than non-disabled Australians, though it is the lowest rate of entrep</w:t>
      </w:r>
      <w:r w:rsidR="00557F89" w:rsidRPr="000D6BEA">
        <w:rPr>
          <w:rFonts w:asciiTheme="minorHAnsi" w:hAnsiTheme="minorHAnsi" w:cstheme="minorHAnsi"/>
          <w:szCs w:val="21"/>
        </w:rPr>
        <w:t>r</w:t>
      </w:r>
      <w:r w:rsidRPr="000D6BEA">
        <w:rPr>
          <w:rFonts w:asciiTheme="minorHAnsi" w:hAnsiTheme="minorHAnsi" w:cstheme="minorHAnsi"/>
          <w:szCs w:val="21"/>
        </w:rPr>
        <w:t>eneurship among Australians with disability (Darcy et al., 2020). As with overseas contexts, people with disability in Australia are, on average, 43% more likely to be self-employed than Australians without disability due to a range of factors including difficulty in gaining employment and lifestyle advantages of self-employment. It should be noted though that females with disability are far less likely to be entrep</w:t>
      </w:r>
      <w:r w:rsidR="00F66EC4" w:rsidRPr="000D6BEA">
        <w:rPr>
          <w:rFonts w:asciiTheme="minorHAnsi" w:hAnsiTheme="minorHAnsi" w:cstheme="minorHAnsi"/>
          <w:szCs w:val="21"/>
        </w:rPr>
        <w:t>r</w:t>
      </w:r>
      <w:r w:rsidRPr="000D6BEA">
        <w:rPr>
          <w:rFonts w:asciiTheme="minorHAnsi" w:hAnsiTheme="minorHAnsi" w:cstheme="minorHAnsi"/>
          <w:szCs w:val="21"/>
        </w:rPr>
        <w:t xml:space="preserve">eneurs than males (Darcy et al., 2020). </w:t>
      </w:r>
    </w:p>
    <w:p w14:paraId="63F15C0F" w14:textId="77777777" w:rsidR="00875BDE" w:rsidRPr="000D6BEA" w:rsidRDefault="00875BDE" w:rsidP="000D6BEA">
      <w:pPr>
        <w:autoSpaceDE w:val="0"/>
        <w:autoSpaceDN w:val="0"/>
        <w:adjustRightInd w:val="0"/>
        <w:spacing w:line="276" w:lineRule="auto"/>
        <w:rPr>
          <w:rFonts w:asciiTheme="minorHAnsi" w:hAnsiTheme="minorHAnsi" w:cstheme="minorHAnsi"/>
          <w:szCs w:val="21"/>
        </w:rPr>
      </w:pPr>
      <w:r w:rsidRPr="000D6BEA">
        <w:rPr>
          <w:rFonts w:asciiTheme="minorHAnsi" w:hAnsiTheme="minorHAnsi" w:cstheme="minorHAnsi"/>
          <w:szCs w:val="21"/>
        </w:rPr>
        <w:lastRenderedPageBreak/>
        <w:t>Microenterprises involving people with intellectual disability are not well researched. However, there is a small amount of evidence that these microenterprises can operate in Australia and have some longevity (e.g. over 8 years) (</w:t>
      </w:r>
      <w:proofErr w:type="spellStart"/>
      <w:r w:rsidRPr="000D6BEA">
        <w:rPr>
          <w:rFonts w:asciiTheme="minorHAnsi" w:hAnsiTheme="minorHAnsi" w:cstheme="minorHAnsi"/>
          <w:szCs w:val="21"/>
        </w:rPr>
        <w:t>Thoresen</w:t>
      </w:r>
      <w:proofErr w:type="spellEnd"/>
      <w:r w:rsidRPr="000D6BEA">
        <w:rPr>
          <w:rFonts w:asciiTheme="minorHAnsi" w:hAnsiTheme="minorHAnsi" w:cstheme="minorHAnsi"/>
          <w:szCs w:val="21"/>
        </w:rPr>
        <w:t xml:space="preserve"> et al., 2018).</w:t>
      </w:r>
    </w:p>
    <w:p w14:paraId="3D658D88" w14:textId="77777777" w:rsidR="00875BDE" w:rsidRDefault="00875BDE" w:rsidP="00CE427B">
      <w:pPr>
        <w:autoSpaceDE w:val="0"/>
        <w:autoSpaceDN w:val="0"/>
        <w:adjustRightInd w:val="0"/>
        <w:spacing w:after="120" w:line="276" w:lineRule="auto"/>
        <w:rPr>
          <w:rFonts w:cs="Times-Roman"/>
        </w:rPr>
      </w:pPr>
    </w:p>
    <w:p w14:paraId="7BF36B53" w14:textId="77777777" w:rsidR="00875BDE" w:rsidRDefault="00875BDE" w:rsidP="00CE427B">
      <w:pPr>
        <w:pStyle w:val="Heading2"/>
        <w:spacing w:before="120" w:after="120" w:line="276" w:lineRule="auto"/>
      </w:pPr>
      <w:bookmarkStart w:id="136" w:name="_Toc49417757"/>
      <w:bookmarkStart w:id="137" w:name="_Toc49417961"/>
      <w:r>
        <w:t>What are the outcomes and benefits of microenterprises?</w:t>
      </w:r>
      <w:bookmarkEnd w:id="136"/>
      <w:bookmarkEnd w:id="137"/>
    </w:p>
    <w:p w14:paraId="446955F3" w14:textId="10307B86" w:rsidR="00875BDE" w:rsidRPr="000D6BEA" w:rsidRDefault="00875BDE" w:rsidP="000D6BEA">
      <w:pPr>
        <w:autoSpaceDE w:val="0"/>
        <w:autoSpaceDN w:val="0"/>
        <w:adjustRightInd w:val="0"/>
        <w:spacing w:line="276" w:lineRule="auto"/>
        <w:rPr>
          <w:rFonts w:asciiTheme="minorHAnsi" w:hAnsiTheme="minorHAnsi" w:cstheme="minorHAnsi"/>
          <w:szCs w:val="21"/>
        </w:rPr>
      </w:pPr>
      <w:r w:rsidRPr="000D6BEA">
        <w:rPr>
          <w:rFonts w:asciiTheme="minorHAnsi" w:hAnsiTheme="minorHAnsi" w:cstheme="minorHAnsi"/>
          <w:szCs w:val="21"/>
        </w:rPr>
        <w:t>A recent Australian study of micro-entrep</w:t>
      </w:r>
      <w:r w:rsidR="00557F89" w:rsidRPr="000D6BEA">
        <w:rPr>
          <w:rFonts w:asciiTheme="minorHAnsi" w:hAnsiTheme="minorHAnsi" w:cstheme="minorHAnsi"/>
          <w:szCs w:val="21"/>
        </w:rPr>
        <w:t>r</w:t>
      </w:r>
      <w:r w:rsidRPr="000D6BEA">
        <w:rPr>
          <w:rFonts w:asciiTheme="minorHAnsi" w:hAnsiTheme="minorHAnsi" w:cstheme="minorHAnsi"/>
          <w:szCs w:val="21"/>
        </w:rPr>
        <w:t>eneurs with disability (including 10% with intellectual disability) found that outcomes included:</w:t>
      </w:r>
    </w:p>
    <w:p w14:paraId="18131C6D" w14:textId="77777777" w:rsidR="00875BDE" w:rsidRPr="000D6BEA" w:rsidRDefault="00875BDE" w:rsidP="000D6BEA">
      <w:pPr>
        <w:pStyle w:val="ListParagraph"/>
        <w:numPr>
          <w:ilvl w:val="0"/>
          <w:numId w:val="61"/>
        </w:numPr>
        <w:autoSpaceDE w:val="0"/>
        <w:autoSpaceDN w:val="0"/>
        <w:adjustRightInd w:val="0"/>
        <w:spacing w:line="276" w:lineRule="auto"/>
        <w:rPr>
          <w:rFonts w:asciiTheme="minorHAnsi" w:hAnsiTheme="minorHAnsi" w:cstheme="minorHAnsi"/>
          <w:szCs w:val="21"/>
        </w:rPr>
      </w:pPr>
      <w:r w:rsidRPr="000D6BEA">
        <w:rPr>
          <w:rFonts w:asciiTheme="minorHAnsi" w:hAnsiTheme="minorHAnsi" w:cstheme="minorHAnsi"/>
          <w:szCs w:val="21"/>
        </w:rPr>
        <w:t xml:space="preserve">sense of purpose, </w:t>
      </w:r>
    </w:p>
    <w:p w14:paraId="30365093" w14:textId="77777777" w:rsidR="00875BDE" w:rsidRPr="000D6BEA" w:rsidRDefault="00875BDE" w:rsidP="000D6BEA">
      <w:pPr>
        <w:pStyle w:val="ListParagraph"/>
        <w:numPr>
          <w:ilvl w:val="0"/>
          <w:numId w:val="61"/>
        </w:numPr>
        <w:autoSpaceDE w:val="0"/>
        <w:autoSpaceDN w:val="0"/>
        <w:adjustRightInd w:val="0"/>
        <w:spacing w:line="276" w:lineRule="auto"/>
        <w:rPr>
          <w:rFonts w:asciiTheme="minorHAnsi" w:hAnsiTheme="minorHAnsi" w:cstheme="minorHAnsi"/>
          <w:szCs w:val="21"/>
        </w:rPr>
      </w:pPr>
      <w:r w:rsidRPr="000D6BEA">
        <w:rPr>
          <w:rFonts w:asciiTheme="minorHAnsi" w:hAnsiTheme="minorHAnsi" w:cstheme="minorHAnsi"/>
          <w:szCs w:val="21"/>
        </w:rPr>
        <w:t>sense of future</w:t>
      </w:r>
    </w:p>
    <w:p w14:paraId="2EBDDC1D" w14:textId="77777777" w:rsidR="00875BDE" w:rsidRPr="000D6BEA" w:rsidRDefault="00875BDE" w:rsidP="000D6BEA">
      <w:pPr>
        <w:pStyle w:val="ListParagraph"/>
        <w:numPr>
          <w:ilvl w:val="0"/>
          <w:numId w:val="61"/>
        </w:numPr>
        <w:autoSpaceDE w:val="0"/>
        <w:autoSpaceDN w:val="0"/>
        <w:adjustRightInd w:val="0"/>
        <w:spacing w:line="276" w:lineRule="auto"/>
        <w:rPr>
          <w:rFonts w:asciiTheme="minorHAnsi" w:hAnsiTheme="minorHAnsi" w:cstheme="minorHAnsi"/>
          <w:szCs w:val="21"/>
        </w:rPr>
      </w:pPr>
      <w:r w:rsidRPr="000D6BEA">
        <w:rPr>
          <w:rFonts w:asciiTheme="minorHAnsi" w:hAnsiTheme="minorHAnsi" w:cstheme="minorHAnsi"/>
          <w:szCs w:val="21"/>
        </w:rPr>
        <w:t xml:space="preserve">contributing to the community </w:t>
      </w:r>
    </w:p>
    <w:p w14:paraId="44B20DAA" w14:textId="77777777" w:rsidR="00875BDE" w:rsidRPr="000D6BEA" w:rsidRDefault="00875BDE" w:rsidP="000D6BEA">
      <w:pPr>
        <w:pStyle w:val="ListParagraph"/>
        <w:numPr>
          <w:ilvl w:val="0"/>
          <w:numId w:val="61"/>
        </w:numPr>
        <w:autoSpaceDE w:val="0"/>
        <w:autoSpaceDN w:val="0"/>
        <w:adjustRightInd w:val="0"/>
        <w:spacing w:line="276" w:lineRule="auto"/>
        <w:rPr>
          <w:rFonts w:asciiTheme="minorHAnsi" w:hAnsiTheme="minorHAnsi" w:cstheme="minorHAnsi"/>
          <w:szCs w:val="21"/>
        </w:rPr>
      </w:pPr>
      <w:r w:rsidRPr="000D6BEA">
        <w:rPr>
          <w:rFonts w:asciiTheme="minorHAnsi" w:hAnsiTheme="minorHAnsi" w:cstheme="minorHAnsi"/>
          <w:szCs w:val="21"/>
        </w:rPr>
        <w:t>increased self-esteem</w:t>
      </w:r>
    </w:p>
    <w:p w14:paraId="7DC31762" w14:textId="77777777" w:rsidR="00875BDE" w:rsidRPr="000D6BEA" w:rsidRDefault="00875BDE" w:rsidP="000D6BEA">
      <w:pPr>
        <w:pStyle w:val="ListParagraph"/>
        <w:numPr>
          <w:ilvl w:val="0"/>
          <w:numId w:val="61"/>
        </w:numPr>
        <w:autoSpaceDE w:val="0"/>
        <w:autoSpaceDN w:val="0"/>
        <w:adjustRightInd w:val="0"/>
        <w:spacing w:line="276" w:lineRule="auto"/>
        <w:rPr>
          <w:rFonts w:asciiTheme="minorHAnsi" w:hAnsiTheme="minorHAnsi" w:cstheme="minorHAnsi"/>
          <w:szCs w:val="21"/>
        </w:rPr>
      </w:pPr>
      <w:r w:rsidRPr="000D6BEA">
        <w:rPr>
          <w:rFonts w:asciiTheme="minorHAnsi" w:hAnsiTheme="minorHAnsi" w:cstheme="minorHAnsi"/>
          <w:szCs w:val="21"/>
        </w:rPr>
        <w:t>increased quality of life</w:t>
      </w:r>
    </w:p>
    <w:p w14:paraId="406508A2" w14:textId="77777777" w:rsidR="00875BDE" w:rsidRPr="000D6BEA" w:rsidRDefault="00875BDE" w:rsidP="000D6BEA">
      <w:pPr>
        <w:pStyle w:val="ListParagraph"/>
        <w:numPr>
          <w:ilvl w:val="0"/>
          <w:numId w:val="61"/>
        </w:numPr>
        <w:autoSpaceDE w:val="0"/>
        <w:autoSpaceDN w:val="0"/>
        <w:adjustRightInd w:val="0"/>
        <w:spacing w:line="276" w:lineRule="auto"/>
        <w:rPr>
          <w:rFonts w:asciiTheme="minorHAnsi" w:hAnsiTheme="minorHAnsi" w:cstheme="minorHAnsi"/>
          <w:szCs w:val="21"/>
        </w:rPr>
      </w:pPr>
      <w:r w:rsidRPr="000D6BEA">
        <w:rPr>
          <w:rFonts w:asciiTheme="minorHAnsi" w:hAnsiTheme="minorHAnsi" w:cstheme="minorHAnsi"/>
          <w:szCs w:val="21"/>
        </w:rPr>
        <w:t>larger social network</w:t>
      </w:r>
    </w:p>
    <w:p w14:paraId="7F08F668" w14:textId="77777777" w:rsidR="00875BDE" w:rsidRPr="000D6BEA" w:rsidRDefault="00875BDE" w:rsidP="000D6BEA">
      <w:pPr>
        <w:pStyle w:val="ListParagraph"/>
        <w:numPr>
          <w:ilvl w:val="0"/>
          <w:numId w:val="61"/>
        </w:numPr>
        <w:autoSpaceDE w:val="0"/>
        <w:autoSpaceDN w:val="0"/>
        <w:adjustRightInd w:val="0"/>
        <w:spacing w:line="276" w:lineRule="auto"/>
        <w:rPr>
          <w:rFonts w:asciiTheme="minorHAnsi" w:hAnsiTheme="minorHAnsi" w:cstheme="minorHAnsi"/>
          <w:szCs w:val="21"/>
        </w:rPr>
      </w:pPr>
      <w:r w:rsidRPr="000D6BEA">
        <w:rPr>
          <w:rFonts w:asciiTheme="minorHAnsi" w:hAnsiTheme="minorHAnsi" w:cstheme="minorHAnsi"/>
          <w:szCs w:val="21"/>
        </w:rPr>
        <w:t>having a job</w:t>
      </w:r>
    </w:p>
    <w:p w14:paraId="15E1DF88" w14:textId="77777777" w:rsidR="00875BDE" w:rsidRPr="000D6BEA" w:rsidRDefault="00875BDE" w:rsidP="000D6BEA">
      <w:pPr>
        <w:pStyle w:val="ListParagraph"/>
        <w:numPr>
          <w:ilvl w:val="0"/>
          <w:numId w:val="61"/>
        </w:numPr>
        <w:autoSpaceDE w:val="0"/>
        <w:autoSpaceDN w:val="0"/>
        <w:adjustRightInd w:val="0"/>
        <w:spacing w:line="276" w:lineRule="auto"/>
        <w:rPr>
          <w:rFonts w:asciiTheme="minorHAnsi" w:hAnsiTheme="minorHAnsi" w:cstheme="minorHAnsi"/>
          <w:szCs w:val="21"/>
        </w:rPr>
      </w:pPr>
      <w:r w:rsidRPr="000D6BEA">
        <w:rPr>
          <w:rFonts w:asciiTheme="minorHAnsi" w:hAnsiTheme="minorHAnsi" w:cstheme="minorHAnsi"/>
          <w:szCs w:val="21"/>
        </w:rPr>
        <w:t>creating employment for others</w:t>
      </w:r>
    </w:p>
    <w:p w14:paraId="3150FD53" w14:textId="710A184E" w:rsidR="00875BDE" w:rsidRPr="000D6BEA" w:rsidRDefault="00875BDE" w:rsidP="000D6BEA">
      <w:pPr>
        <w:pStyle w:val="ListParagraph"/>
        <w:numPr>
          <w:ilvl w:val="0"/>
          <w:numId w:val="61"/>
        </w:numPr>
        <w:autoSpaceDE w:val="0"/>
        <w:autoSpaceDN w:val="0"/>
        <w:adjustRightInd w:val="0"/>
        <w:spacing w:line="276" w:lineRule="auto"/>
        <w:rPr>
          <w:rFonts w:asciiTheme="minorHAnsi" w:hAnsiTheme="minorHAnsi" w:cstheme="minorHAnsi"/>
          <w:szCs w:val="21"/>
        </w:rPr>
      </w:pPr>
      <w:r w:rsidRPr="000D6BEA">
        <w:rPr>
          <w:rFonts w:asciiTheme="minorHAnsi" w:hAnsiTheme="minorHAnsi" w:cstheme="minorHAnsi"/>
          <w:szCs w:val="21"/>
        </w:rPr>
        <w:t>having a secure income (Darcy et al., 2020).</w:t>
      </w:r>
    </w:p>
    <w:p w14:paraId="7989D819" w14:textId="51DA085D" w:rsidR="00875BDE" w:rsidRPr="000D6BEA" w:rsidRDefault="00875BDE" w:rsidP="000D6BEA">
      <w:pPr>
        <w:autoSpaceDE w:val="0"/>
        <w:autoSpaceDN w:val="0"/>
        <w:adjustRightInd w:val="0"/>
        <w:spacing w:line="276" w:lineRule="auto"/>
        <w:rPr>
          <w:rFonts w:asciiTheme="minorHAnsi" w:hAnsiTheme="minorHAnsi" w:cstheme="minorHAnsi"/>
          <w:szCs w:val="21"/>
        </w:rPr>
      </w:pPr>
      <w:r w:rsidRPr="000D6BEA">
        <w:rPr>
          <w:rFonts w:asciiTheme="minorHAnsi" w:hAnsiTheme="minorHAnsi" w:cstheme="minorHAnsi"/>
          <w:szCs w:val="21"/>
        </w:rPr>
        <w:t xml:space="preserve">Likewise, one study of people with intellectual disability in the United States involved in microbusinesses found that outcomes included social and economic benefits and all participants had improved </w:t>
      </w:r>
      <w:proofErr w:type="spellStart"/>
      <w:r w:rsidRPr="000D6BEA">
        <w:rPr>
          <w:rFonts w:asciiTheme="minorHAnsi" w:hAnsiTheme="minorHAnsi" w:cstheme="minorHAnsi"/>
          <w:szCs w:val="21"/>
        </w:rPr>
        <w:t>worklife</w:t>
      </w:r>
      <w:proofErr w:type="spellEnd"/>
      <w:r w:rsidRPr="000D6BEA">
        <w:rPr>
          <w:rFonts w:asciiTheme="minorHAnsi" w:hAnsiTheme="minorHAnsi" w:cstheme="minorHAnsi"/>
          <w:szCs w:val="21"/>
        </w:rPr>
        <w:t xml:space="preserve"> quality, as did their support workers involved in supporting the enterprise activity (Conroy et al., 2010). A </w:t>
      </w:r>
      <w:proofErr w:type="gramStart"/>
      <w:r w:rsidRPr="000D6BEA">
        <w:rPr>
          <w:rFonts w:asciiTheme="minorHAnsi" w:hAnsiTheme="minorHAnsi" w:cstheme="minorHAnsi"/>
          <w:szCs w:val="21"/>
        </w:rPr>
        <w:t>small scale</w:t>
      </w:r>
      <w:proofErr w:type="gramEnd"/>
      <w:r w:rsidRPr="000D6BEA">
        <w:rPr>
          <w:rFonts w:asciiTheme="minorHAnsi" w:hAnsiTheme="minorHAnsi" w:cstheme="minorHAnsi"/>
          <w:szCs w:val="21"/>
        </w:rPr>
        <w:t xml:space="preserve"> study of four people with intellectual disability in Australia found a similar range of outcomes including increased social connection and inclusion, increased sense of value, personal development, and additional income (</w:t>
      </w:r>
      <w:proofErr w:type="spellStart"/>
      <w:r w:rsidRPr="000D6BEA">
        <w:rPr>
          <w:rFonts w:asciiTheme="minorHAnsi" w:hAnsiTheme="minorHAnsi" w:cstheme="minorHAnsi"/>
          <w:szCs w:val="21"/>
        </w:rPr>
        <w:t>Thoresen</w:t>
      </w:r>
      <w:proofErr w:type="spellEnd"/>
      <w:r w:rsidRPr="000D6BEA">
        <w:rPr>
          <w:rFonts w:asciiTheme="minorHAnsi" w:hAnsiTheme="minorHAnsi" w:cstheme="minorHAnsi"/>
          <w:szCs w:val="21"/>
        </w:rPr>
        <w:t xml:space="preserve"> et al.</w:t>
      </w:r>
      <w:r w:rsidR="00065F25" w:rsidRPr="000D6BEA">
        <w:rPr>
          <w:rFonts w:asciiTheme="minorHAnsi" w:hAnsiTheme="minorHAnsi" w:cstheme="minorHAnsi"/>
          <w:szCs w:val="21"/>
        </w:rPr>
        <w:t>,</w:t>
      </w:r>
      <w:r w:rsidRPr="000D6BEA">
        <w:rPr>
          <w:rFonts w:asciiTheme="minorHAnsi" w:hAnsiTheme="minorHAnsi" w:cstheme="minorHAnsi"/>
          <w:szCs w:val="21"/>
        </w:rPr>
        <w:t xml:space="preserve"> 2018).</w:t>
      </w:r>
    </w:p>
    <w:p w14:paraId="46B83793" w14:textId="35327DAE" w:rsidR="00875BDE" w:rsidRPr="000D6BEA" w:rsidRDefault="00875BDE" w:rsidP="000D6BEA">
      <w:pPr>
        <w:autoSpaceDE w:val="0"/>
        <w:autoSpaceDN w:val="0"/>
        <w:adjustRightInd w:val="0"/>
        <w:spacing w:line="276" w:lineRule="auto"/>
        <w:rPr>
          <w:rFonts w:asciiTheme="minorHAnsi" w:hAnsiTheme="minorHAnsi" w:cstheme="minorHAnsi"/>
          <w:szCs w:val="21"/>
        </w:rPr>
      </w:pPr>
      <w:r w:rsidRPr="000D6BEA">
        <w:rPr>
          <w:rFonts w:asciiTheme="minorHAnsi" w:hAnsiTheme="minorHAnsi" w:cstheme="minorHAnsi"/>
          <w:szCs w:val="21"/>
        </w:rPr>
        <w:t>In a UK study of people with intellectual disability strong social outcomes were evident:</w:t>
      </w:r>
    </w:p>
    <w:p w14:paraId="36F28AD7" w14:textId="04A1E91D" w:rsidR="00875BDE" w:rsidRPr="000D6BEA" w:rsidRDefault="00875BDE" w:rsidP="000D6BEA">
      <w:pPr>
        <w:autoSpaceDE w:val="0"/>
        <w:autoSpaceDN w:val="0"/>
        <w:adjustRightInd w:val="0"/>
        <w:spacing w:line="276" w:lineRule="auto"/>
        <w:ind w:left="360" w:right="360"/>
        <w:rPr>
          <w:rFonts w:asciiTheme="minorHAnsi" w:hAnsiTheme="minorHAnsi" w:cstheme="minorHAnsi"/>
          <w:szCs w:val="21"/>
        </w:rPr>
      </w:pPr>
      <w:r w:rsidRPr="000D6BEA">
        <w:rPr>
          <w:rFonts w:asciiTheme="minorHAnsi" w:hAnsiTheme="minorHAnsi" w:cstheme="minorHAnsi"/>
          <w:szCs w:val="21"/>
        </w:rPr>
        <w:t xml:space="preserve">All entrepreneurs consulted had found the process very positive, gaining in confidence and ability, and engagement with the local community. Individuals spoke of being accepted as equal by others who did not have a learning disability – “The thing that we’re most proud of is the fact that we work on the market, we pay the market fee, we do exactly the same as every other trader, we have good weeks and bad weeks and everybody has to do that” (Reddington </w:t>
      </w:r>
      <w:r w:rsidR="004F429D" w:rsidRPr="000D6BEA">
        <w:rPr>
          <w:rFonts w:asciiTheme="minorHAnsi" w:hAnsiTheme="minorHAnsi" w:cstheme="minorHAnsi"/>
          <w:szCs w:val="21"/>
        </w:rPr>
        <w:t>&amp;</w:t>
      </w:r>
      <w:r w:rsidRPr="000D6BEA">
        <w:rPr>
          <w:rFonts w:asciiTheme="minorHAnsi" w:hAnsiTheme="minorHAnsi" w:cstheme="minorHAnsi"/>
          <w:szCs w:val="21"/>
        </w:rPr>
        <w:t xml:space="preserve"> Fitzsimons, 2013, p.</w:t>
      </w:r>
      <w:r w:rsidR="004F429D" w:rsidRPr="000D6BEA">
        <w:rPr>
          <w:rFonts w:asciiTheme="minorHAnsi" w:hAnsiTheme="minorHAnsi" w:cstheme="minorHAnsi"/>
          <w:szCs w:val="21"/>
        </w:rPr>
        <w:t xml:space="preserve"> </w:t>
      </w:r>
      <w:r w:rsidRPr="000D6BEA">
        <w:rPr>
          <w:rFonts w:asciiTheme="minorHAnsi" w:hAnsiTheme="minorHAnsi" w:cstheme="minorHAnsi"/>
          <w:szCs w:val="21"/>
        </w:rPr>
        <w:t>129)</w:t>
      </w:r>
      <w:r w:rsidR="0011617C">
        <w:rPr>
          <w:rFonts w:asciiTheme="minorHAnsi" w:hAnsiTheme="minorHAnsi" w:cstheme="minorHAnsi"/>
          <w:szCs w:val="21"/>
        </w:rPr>
        <w:t>.</w:t>
      </w:r>
    </w:p>
    <w:p w14:paraId="531F16D7" w14:textId="4A84F136" w:rsidR="00875BDE" w:rsidRPr="000D6BEA" w:rsidRDefault="00875BDE" w:rsidP="000D6BEA">
      <w:pPr>
        <w:autoSpaceDE w:val="0"/>
        <w:autoSpaceDN w:val="0"/>
        <w:adjustRightInd w:val="0"/>
        <w:spacing w:line="276" w:lineRule="auto"/>
        <w:rPr>
          <w:rFonts w:asciiTheme="minorHAnsi" w:hAnsiTheme="minorHAnsi" w:cstheme="minorHAnsi"/>
          <w:szCs w:val="21"/>
        </w:rPr>
      </w:pPr>
      <w:r w:rsidRPr="000D6BEA">
        <w:rPr>
          <w:rFonts w:asciiTheme="minorHAnsi" w:hAnsiTheme="minorHAnsi" w:cstheme="minorHAnsi"/>
          <w:szCs w:val="21"/>
        </w:rPr>
        <w:t>A study of microentrep</w:t>
      </w:r>
      <w:r w:rsidR="00557F89" w:rsidRPr="000D6BEA">
        <w:rPr>
          <w:rFonts w:asciiTheme="minorHAnsi" w:hAnsiTheme="minorHAnsi" w:cstheme="minorHAnsi"/>
          <w:szCs w:val="21"/>
        </w:rPr>
        <w:t>r</w:t>
      </w:r>
      <w:r w:rsidRPr="000D6BEA">
        <w:rPr>
          <w:rFonts w:asciiTheme="minorHAnsi" w:hAnsiTheme="minorHAnsi" w:cstheme="minorHAnsi"/>
          <w:szCs w:val="21"/>
        </w:rPr>
        <w:t xml:space="preserve">eneurs with intellectual disability in the UK found that a sense of success was not related to making a wage from the enterprise. In the enterprises studied, some generated enough income to pay a full wage, some made some contribution to a wage, while in others people were happy to ‘volunteer’ within their own </w:t>
      </w:r>
      <w:proofErr w:type="spellStart"/>
      <w:r w:rsidRPr="000D6BEA">
        <w:rPr>
          <w:rFonts w:asciiTheme="minorHAnsi" w:hAnsiTheme="minorHAnsi" w:cstheme="minorHAnsi"/>
          <w:szCs w:val="21"/>
        </w:rPr>
        <w:t>organi</w:t>
      </w:r>
      <w:r w:rsidR="00131ED2" w:rsidRPr="000D6BEA">
        <w:rPr>
          <w:rFonts w:asciiTheme="minorHAnsi" w:hAnsiTheme="minorHAnsi" w:cstheme="minorHAnsi"/>
          <w:szCs w:val="21"/>
        </w:rPr>
        <w:t>s</w:t>
      </w:r>
      <w:r w:rsidRPr="000D6BEA">
        <w:rPr>
          <w:rFonts w:asciiTheme="minorHAnsi" w:hAnsiTheme="minorHAnsi" w:cstheme="minorHAnsi"/>
          <w:szCs w:val="21"/>
        </w:rPr>
        <w:t>ation</w:t>
      </w:r>
      <w:proofErr w:type="spellEnd"/>
      <w:r w:rsidRPr="000D6BEA">
        <w:rPr>
          <w:rFonts w:asciiTheme="minorHAnsi" w:hAnsiTheme="minorHAnsi" w:cstheme="minorHAnsi"/>
          <w:szCs w:val="21"/>
        </w:rPr>
        <w:t xml:space="preserve"> and not be paid a wage. </w:t>
      </w:r>
      <w:r w:rsidR="00FE1A86" w:rsidRPr="000D6BEA">
        <w:rPr>
          <w:rFonts w:asciiTheme="minorHAnsi" w:hAnsiTheme="minorHAnsi" w:cstheme="minorHAnsi"/>
          <w:szCs w:val="21"/>
        </w:rPr>
        <w:t>“</w:t>
      </w:r>
      <w:r w:rsidRPr="000D6BEA">
        <w:rPr>
          <w:rFonts w:asciiTheme="minorHAnsi" w:hAnsiTheme="minorHAnsi" w:cstheme="minorHAnsi"/>
          <w:szCs w:val="21"/>
        </w:rPr>
        <w:t>Typically, being busy and doing something worthwhile was perceived as more important than income</w:t>
      </w:r>
      <w:r w:rsidR="00FE1A86" w:rsidRPr="000D6BEA">
        <w:rPr>
          <w:rFonts w:asciiTheme="minorHAnsi" w:hAnsiTheme="minorHAnsi" w:cstheme="minorHAnsi"/>
          <w:szCs w:val="21"/>
        </w:rPr>
        <w:t>”</w:t>
      </w:r>
      <w:r w:rsidRPr="000D6BEA">
        <w:rPr>
          <w:rFonts w:asciiTheme="minorHAnsi" w:hAnsiTheme="minorHAnsi" w:cstheme="minorHAnsi"/>
          <w:szCs w:val="21"/>
        </w:rPr>
        <w:t xml:space="preserve"> (Reddington </w:t>
      </w:r>
      <w:r w:rsidR="004F429D" w:rsidRPr="000D6BEA">
        <w:rPr>
          <w:rFonts w:asciiTheme="minorHAnsi" w:hAnsiTheme="minorHAnsi" w:cstheme="minorHAnsi"/>
          <w:szCs w:val="21"/>
        </w:rPr>
        <w:t>&amp;</w:t>
      </w:r>
      <w:r w:rsidRPr="000D6BEA">
        <w:rPr>
          <w:rFonts w:asciiTheme="minorHAnsi" w:hAnsiTheme="minorHAnsi" w:cstheme="minorHAnsi"/>
          <w:szCs w:val="21"/>
        </w:rPr>
        <w:t xml:space="preserve"> Fitzsimons, 2013, p.</w:t>
      </w:r>
      <w:r w:rsidR="004F429D" w:rsidRPr="000D6BEA">
        <w:rPr>
          <w:rFonts w:asciiTheme="minorHAnsi" w:hAnsiTheme="minorHAnsi" w:cstheme="minorHAnsi"/>
          <w:szCs w:val="21"/>
        </w:rPr>
        <w:t xml:space="preserve"> </w:t>
      </w:r>
      <w:r w:rsidRPr="000D6BEA">
        <w:rPr>
          <w:rFonts w:asciiTheme="minorHAnsi" w:hAnsiTheme="minorHAnsi" w:cstheme="minorHAnsi"/>
          <w:szCs w:val="21"/>
        </w:rPr>
        <w:t>128).</w:t>
      </w:r>
    </w:p>
    <w:p w14:paraId="3863CDDE" w14:textId="77777777" w:rsidR="00CE427B" w:rsidRPr="00BC3642" w:rsidRDefault="00CE427B" w:rsidP="00CE427B">
      <w:pPr>
        <w:autoSpaceDE w:val="0"/>
        <w:autoSpaceDN w:val="0"/>
        <w:adjustRightInd w:val="0"/>
        <w:spacing w:after="120" w:line="276" w:lineRule="auto"/>
        <w:rPr>
          <w:rFonts w:cs="Advhel_light"/>
        </w:rPr>
      </w:pPr>
    </w:p>
    <w:p w14:paraId="6ABC0813" w14:textId="77777777" w:rsidR="00875BDE" w:rsidRDefault="00875BDE" w:rsidP="00CE427B">
      <w:pPr>
        <w:pStyle w:val="Heading2"/>
        <w:spacing w:before="120" w:after="120" w:line="276" w:lineRule="auto"/>
      </w:pPr>
      <w:bookmarkStart w:id="138" w:name="_Toc49417758"/>
      <w:bookmarkStart w:id="139" w:name="_Toc49417962"/>
      <w:r>
        <w:t>Ingredients of success</w:t>
      </w:r>
      <w:bookmarkEnd w:id="138"/>
      <w:bookmarkEnd w:id="139"/>
    </w:p>
    <w:p w14:paraId="4A8EB62A" w14:textId="77777777" w:rsidR="00875BDE" w:rsidRPr="000D6BEA" w:rsidRDefault="00875BDE" w:rsidP="000D6BEA">
      <w:pPr>
        <w:spacing w:line="276" w:lineRule="auto"/>
        <w:rPr>
          <w:rFonts w:asciiTheme="minorHAnsi" w:hAnsiTheme="minorHAnsi" w:cstheme="minorHAnsi"/>
          <w:szCs w:val="21"/>
        </w:rPr>
      </w:pPr>
      <w:r w:rsidRPr="000D6BEA">
        <w:rPr>
          <w:rFonts w:asciiTheme="minorHAnsi" w:hAnsiTheme="minorHAnsi" w:cstheme="minorHAnsi"/>
          <w:szCs w:val="21"/>
        </w:rPr>
        <w:t>While there is not a great deal of research on what are the ingredients of success for developing and operating a microenterprise involving a person with intellectual disability, the following have been commented on in the literature:</w:t>
      </w:r>
    </w:p>
    <w:p w14:paraId="5FEF4D5C" w14:textId="00111B91" w:rsidR="00875BDE" w:rsidRPr="000D6BEA" w:rsidRDefault="00875BDE" w:rsidP="000D6BEA">
      <w:pPr>
        <w:pStyle w:val="ListParagraph"/>
        <w:numPr>
          <w:ilvl w:val="0"/>
          <w:numId w:val="60"/>
        </w:numPr>
        <w:spacing w:line="276" w:lineRule="auto"/>
        <w:rPr>
          <w:rFonts w:asciiTheme="minorHAnsi" w:hAnsiTheme="minorHAnsi" w:cstheme="minorHAnsi"/>
          <w:szCs w:val="21"/>
        </w:rPr>
      </w:pPr>
      <w:r w:rsidRPr="000D6BEA">
        <w:rPr>
          <w:rFonts w:asciiTheme="minorHAnsi" w:hAnsiTheme="minorHAnsi" w:cstheme="minorHAnsi"/>
          <w:b/>
          <w:bCs/>
          <w:szCs w:val="21"/>
        </w:rPr>
        <w:lastRenderedPageBreak/>
        <w:t>Provision of support</w:t>
      </w:r>
      <w:r w:rsidRPr="000D6BEA">
        <w:rPr>
          <w:rFonts w:asciiTheme="minorHAnsi" w:hAnsiTheme="minorHAnsi" w:cstheme="minorHAnsi"/>
          <w:szCs w:val="21"/>
        </w:rPr>
        <w:t xml:space="preserve">: This includes support from family, friends, disability support </w:t>
      </w:r>
      <w:proofErr w:type="spellStart"/>
      <w:r w:rsidRPr="000D6BEA">
        <w:rPr>
          <w:rFonts w:asciiTheme="minorHAnsi" w:hAnsiTheme="minorHAnsi" w:cstheme="minorHAnsi"/>
          <w:szCs w:val="21"/>
        </w:rPr>
        <w:t>organisations</w:t>
      </w:r>
      <w:proofErr w:type="spellEnd"/>
      <w:r w:rsidRPr="000D6BEA">
        <w:rPr>
          <w:rFonts w:asciiTheme="minorHAnsi" w:hAnsiTheme="minorHAnsi" w:cstheme="minorHAnsi"/>
          <w:szCs w:val="21"/>
        </w:rPr>
        <w:t>, as well as providers of business advice (</w:t>
      </w:r>
      <w:proofErr w:type="spellStart"/>
      <w:r w:rsidRPr="000D6BEA">
        <w:rPr>
          <w:rFonts w:asciiTheme="minorHAnsi" w:hAnsiTheme="minorHAnsi" w:cstheme="minorHAnsi"/>
          <w:szCs w:val="21"/>
        </w:rPr>
        <w:t>Thoresen</w:t>
      </w:r>
      <w:proofErr w:type="spellEnd"/>
      <w:r w:rsidRPr="000D6BEA">
        <w:rPr>
          <w:rFonts w:asciiTheme="minorHAnsi" w:hAnsiTheme="minorHAnsi" w:cstheme="minorHAnsi"/>
          <w:szCs w:val="21"/>
        </w:rPr>
        <w:t xml:space="preserve"> et al., 2018; </w:t>
      </w:r>
      <w:proofErr w:type="spellStart"/>
      <w:r w:rsidRPr="000D6BEA">
        <w:rPr>
          <w:rFonts w:asciiTheme="minorHAnsi" w:hAnsiTheme="minorHAnsi" w:cstheme="minorHAnsi"/>
          <w:szCs w:val="21"/>
        </w:rPr>
        <w:t>Hagner</w:t>
      </w:r>
      <w:proofErr w:type="spellEnd"/>
      <w:r w:rsidRPr="000D6BEA">
        <w:rPr>
          <w:rFonts w:asciiTheme="minorHAnsi" w:hAnsiTheme="minorHAnsi" w:cstheme="minorHAnsi"/>
          <w:szCs w:val="21"/>
        </w:rPr>
        <w:t xml:space="preserve"> </w:t>
      </w:r>
      <w:r w:rsidR="0062669D" w:rsidRPr="000D6BEA">
        <w:rPr>
          <w:rFonts w:asciiTheme="minorHAnsi" w:hAnsiTheme="minorHAnsi" w:cstheme="minorHAnsi"/>
          <w:szCs w:val="21"/>
        </w:rPr>
        <w:t>&amp;</w:t>
      </w:r>
      <w:r w:rsidRPr="000D6BEA">
        <w:rPr>
          <w:rFonts w:asciiTheme="minorHAnsi" w:hAnsiTheme="minorHAnsi" w:cstheme="minorHAnsi"/>
          <w:szCs w:val="21"/>
        </w:rPr>
        <w:t xml:space="preserve"> Davies, 2002; Reddington </w:t>
      </w:r>
      <w:r w:rsidR="0062669D" w:rsidRPr="000D6BEA">
        <w:rPr>
          <w:rFonts w:asciiTheme="minorHAnsi" w:hAnsiTheme="minorHAnsi" w:cstheme="minorHAnsi"/>
          <w:szCs w:val="21"/>
        </w:rPr>
        <w:t>&amp;</w:t>
      </w:r>
      <w:r w:rsidRPr="000D6BEA">
        <w:rPr>
          <w:rFonts w:asciiTheme="minorHAnsi" w:hAnsiTheme="minorHAnsi" w:cstheme="minorHAnsi"/>
          <w:szCs w:val="21"/>
        </w:rPr>
        <w:t xml:space="preserve"> Fitzsimons, 2013).</w:t>
      </w:r>
    </w:p>
    <w:p w14:paraId="5D8F5B86" w14:textId="5278A300" w:rsidR="00875BDE" w:rsidRPr="000D6BEA" w:rsidRDefault="00875BDE" w:rsidP="000D6BEA">
      <w:pPr>
        <w:autoSpaceDE w:val="0"/>
        <w:autoSpaceDN w:val="0"/>
        <w:adjustRightInd w:val="0"/>
        <w:spacing w:line="276" w:lineRule="auto"/>
        <w:ind w:left="1170" w:right="540"/>
        <w:rPr>
          <w:rFonts w:asciiTheme="minorHAnsi" w:hAnsiTheme="minorHAnsi" w:cstheme="minorHAnsi"/>
          <w:szCs w:val="21"/>
        </w:rPr>
      </w:pPr>
      <w:r w:rsidRPr="000D6BEA">
        <w:rPr>
          <w:rFonts w:asciiTheme="minorHAnsi" w:hAnsiTheme="minorHAnsi" w:cstheme="minorHAnsi"/>
          <w:szCs w:val="21"/>
        </w:rPr>
        <w:t xml:space="preserve">All individuals with learning disabilities required support to run their microenterprises. No microenterprises examined generated sufficient revenue to cover ongoing support costs, so external sources are required to meet support costs. Meeting on-going support costs was the major factor affecting sustainability (Reddington </w:t>
      </w:r>
      <w:r w:rsidR="0062669D" w:rsidRPr="000D6BEA">
        <w:rPr>
          <w:rFonts w:asciiTheme="minorHAnsi" w:hAnsiTheme="minorHAnsi" w:cstheme="minorHAnsi"/>
          <w:szCs w:val="21"/>
        </w:rPr>
        <w:t>&amp;</w:t>
      </w:r>
      <w:r w:rsidRPr="000D6BEA">
        <w:rPr>
          <w:rFonts w:asciiTheme="minorHAnsi" w:hAnsiTheme="minorHAnsi" w:cstheme="minorHAnsi"/>
          <w:szCs w:val="21"/>
        </w:rPr>
        <w:t xml:space="preserve"> Fitzsimons, 2013, p.</w:t>
      </w:r>
      <w:r w:rsidR="0062669D" w:rsidRPr="000D6BEA">
        <w:rPr>
          <w:rFonts w:asciiTheme="minorHAnsi" w:hAnsiTheme="minorHAnsi" w:cstheme="minorHAnsi"/>
          <w:szCs w:val="21"/>
        </w:rPr>
        <w:t xml:space="preserve"> </w:t>
      </w:r>
      <w:r w:rsidRPr="000D6BEA">
        <w:rPr>
          <w:rFonts w:asciiTheme="minorHAnsi" w:hAnsiTheme="minorHAnsi" w:cstheme="minorHAnsi"/>
          <w:szCs w:val="21"/>
        </w:rPr>
        <w:t>130)</w:t>
      </w:r>
      <w:r w:rsidR="0011617C">
        <w:rPr>
          <w:rFonts w:asciiTheme="minorHAnsi" w:hAnsiTheme="minorHAnsi" w:cstheme="minorHAnsi"/>
          <w:szCs w:val="21"/>
        </w:rPr>
        <w:t>.</w:t>
      </w:r>
    </w:p>
    <w:p w14:paraId="0A622668" w14:textId="25ED6F65" w:rsidR="00875BDE" w:rsidRPr="000D6BEA" w:rsidRDefault="00875BDE" w:rsidP="000D6BEA">
      <w:pPr>
        <w:autoSpaceDE w:val="0"/>
        <w:autoSpaceDN w:val="0"/>
        <w:adjustRightInd w:val="0"/>
        <w:spacing w:line="276" w:lineRule="auto"/>
        <w:ind w:left="720" w:right="540"/>
        <w:rPr>
          <w:rFonts w:asciiTheme="minorHAnsi" w:hAnsiTheme="minorHAnsi" w:cstheme="minorHAnsi"/>
          <w:szCs w:val="21"/>
        </w:rPr>
      </w:pPr>
      <w:r w:rsidRPr="000D6BEA">
        <w:rPr>
          <w:rFonts w:asciiTheme="minorHAnsi" w:hAnsiTheme="minorHAnsi" w:cstheme="minorHAnsi"/>
          <w:szCs w:val="21"/>
        </w:rPr>
        <w:t xml:space="preserve">In an Australian study, support from family and friends was seen as ‘integral’ with </w:t>
      </w:r>
      <w:r w:rsidR="000D6BEA" w:rsidRPr="000D6BEA">
        <w:rPr>
          <w:rFonts w:asciiTheme="minorHAnsi" w:hAnsiTheme="minorHAnsi" w:cstheme="minorHAnsi"/>
          <w:szCs w:val="21"/>
        </w:rPr>
        <w:t>“</w:t>
      </w:r>
      <w:r w:rsidRPr="000D6BEA">
        <w:rPr>
          <w:rFonts w:asciiTheme="minorHAnsi" w:hAnsiTheme="minorHAnsi" w:cstheme="minorHAnsi"/>
          <w:szCs w:val="21"/>
        </w:rPr>
        <w:t xml:space="preserve">many of the cultural, structural and attitudinal barriers experienced by </w:t>
      </w:r>
      <w:proofErr w:type="spellStart"/>
      <w:r w:rsidRPr="000D6BEA">
        <w:rPr>
          <w:rFonts w:asciiTheme="minorHAnsi" w:hAnsiTheme="minorHAnsi" w:cstheme="minorHAnsi"/>
          <w:szCs w:val="21"/>
        </w:rPr>
        <w:t>PwD</w:t>
      </w:r>
      <w:proofErr w:type="spellEnd"/>
      <w:r w:rsidRPr="000D6BEA">
        <w:rPr>
          <w:rFonts w:asciiTheme="minorHAnsi" w:hAnsiTheme="minorHAnsi" w:cstheme="minorHAnsi"/>
          <w:szCs w:val="21"/>
        </w:rPr>
        <w:t xml:space="preserve"> are overcome with support from immediate family, friends and </w:t>
      </w:r>
      <w:proofErr w:type="spellStart"/>
      <w:r w:rsidRPr="000D6BEA">
        <w:rPr>
          <w:rFonts w:asciiTheme="minorHAnsi" w:hAnsiTheme="minorHAnsi" w:cstheme="minorHAnsi"/>
          <w:szCs w:val="21"/>
        </w:rPr>
        <w:t>carers</w:t>
      </w:r>
      <w:proofErr w:type="spellEnd"/>
      <w:r w:rsidR="000D6BEA" w:rsidRPr="000D6BEA">
        <w:rPr>
          <w:rFonts w:asciiTheme="minorHAnsi" w:hAnsiTheme="minorHAnsi" w:cstheme="minorHAnsi"/>
          <w:szCs w:val="21"/>
        </w:rPr>
        <w:t>”</w:t>
      </w:r>
      <w:r w:rsidRPr="000D6BEA">
        <w:rPr>
          <w:rFonts w:asciiTheme="minorHAnsi" w:hAnsiTheme="minorHAnsi" w:cstheme="minorHAnsi"/>
          <w:szCs w:val="21"/>
        </w:rPr>
        <w:t xml:space="preserve"> (Darcy et al., 2020, p. iii).</w:t>
      </w:r>
    </w:p>
    <w:p w14:paraId="7268111C" w14:textId="77777777" w:rsidR="00875BDE" w:rsidRPr="000D6BEA" w:rsidRDefault="00875BDE" w:rsidP="000D6BEA">
      <w:pPr>
        <w:pStyle w:val="ListParagraph"/>
        <w:numPr>
          <w:ilvl w:val="0"/>
          <w:numId w:val="60"/>
        </w:numPr>
        <w:autoSpaceDE w:val="0"/>
        <w:autoSpaceDN w:val="0"/>
        <w:adjustRightInd w:val="0"/>
        <w:spacing w:line="276" w:lineRule="auto"/>
        <w:rPr>
          <w:rFonts w:asciiTheme="minorHAnsi" w:hAnsiTheme="minorHAnsi" w:cstheme="minorHAnsi"/>
          <w:szCs w:val="21"/>
        </w:rPr>
      </w:pPr>
      <w:r w:rsidRPr="000D6BEA">
        <w:rPr>
          <w:rFonts w:asciiTheme="minorHAnsi" w:hAnsiTheme="minorHAnsi" w:cstheme="minorHAnsi"/>
          <w:b/>
          <w:bCs/>
          <w:szCs w:val="21"/>
        </w:rPr>
        <w:t>Financial planning and support</w:t>
      </w:r>
      <w:r w:rsidRPr="000D6BEA">
        <w:rPr>
          <w:rFonts w:asciiTheme="minorHAnsi" w:hAnsiTheme="minorHAnsi" w:cstheme="minorHAnsi"/>
          <w:szCs w:val="21"/>
        </w:rPr>
        <w:t>: including benefits planning and assistance in finding funding or other financial incentives (</w:t>
      </w:r>
      <w:proofErr w:type="spellStart"/>
      <w:r w:rsidRPr="000D6BEA">
        <w:rPr>
          <w:rFonts w:asciiTheme="minorHAnsi" w:hAnsiTheme="minorHAnsi" w:cstheme="minorHAnsi"/>
          <w:szCs w:val="21"/>
        </w:rPr>
        <w:t>Hagner</w:t>
      </w:r>
      <w:proofErr w:type="spellEnd"/>
      <w:r w:rsidRPr="000D6BEA">
        <w:rPr>
          <w:rFonts w:asciiTheme="minorHAnsi" w:hAnsiTheme="minorHAnsi" w:cstheme="minorHAnsi"/>
          <w:szCs w:val="21"/>
        </w:rPr>
        <w:t xml:space="preserve"> &amp; Davies, 2002).  </w:t>
      </w:r>
    </w:p>
    <w:p w14:paraId="546A9EA9" w14:textId="3E178377" w:rsidR="00875BDE" w:rsidRPr="000D6BEA" w:rsidRDefault="00875BDE" w:rsidP="000D6BEA">
      <w:pPr>
        <w:pStyle w:val="ListParagraph"/>
        <w:numPr>
          <w:ilvl w:val="0"/>
          <w:numId w:val="60"/>
        </w:numPr>
        <w:autoSpaceDE w:val="0"/>
        <w:autoSpaceDN w:val="0"/>
        <w:adjustRightInd w:val="0"/>
        <w:spacing w:line="276" w:lineRule="auto"/>
        <w:rPr>
          <w:rFonts w:asciiTheme="minorHAnsi" w:hAnsiTheme="minorHAnsi" w:cstheme="minorHAnsi"/>
          <w:szCs w:val="21"/>
        </w:rPr>
      </w:pPr>
      <w:r w:rsidRPr="000D6BEA">
        <w:rPr>
          <w:rFonts w:asciiTheme="minorHAnsi" w:hAnsiTheme="minorHAnsi" w:cstheme="minorHAnsi"/>
          <w:b/>
          <w:bCs/>
          <w:szCs w:val="21"/>
        </w:rPr>
        <w:t>Alignment of individual’s skills and interests with a genuine community need</w:t>
      </w:r>
      <w:r w:rsidRPr="000D6BEA">
        <w:rPr>
          <w:rFonts w:asciiTheme="minorHAnsi" w:hAnsiTheme="minorHAnsi" w:cstheme="minorHAnsi"/>
          <w:szCs w:val="21"/>
        </w:rPr>
        <w:t xml:space="preserve">: </w:t>
      </w:r>
      <w:r w:rsidR="000D6BEA" w:rsidRPr="000D6BEA">
        <w:rPr>
          <w:rFonts w:asciiTheme="minorHAnsi" w:hAnsiTheme="minorHAnsi" w:cstheme="minorHAnsi"/>
          <w:szCs w:val="21"/>
        </w:rPr>
        <w:t>“</w:t>
      </w:r>
      <w:r w:rsidRPr="000D6BEA">
        <w:rPr>
          <w:rFonts w:asciiTheme="minorHAnsi" w:hAnsiTheme="minorHAnsi" w:cstheme="minorHAnsi"/>
          <w:szCs w:val="21"/>
        </w:rPr>
        <w:t>an ability to deliver a product or service needed to be based on a clear demand, either existing or created for that product or service</w:t>
      </w:r>
      <w:r w:rsidR="000D6BEA" w:rsidRPr="000D6BEA">
        <w:rPr>
          <w:rFonts w:asciiTheme="minorHAnsi" w:hAnsiTheme="minorHAnsi" w:cstheme="minorHAnsi"/>
          <w:szCs w:val="21"/>
        </w:rPr>
        <w:t>”</w:t>
      </w:r>
      <w:r w:rsidRPr="000D6BEA">
        <w:rPr>
          <w:rFonts w:asciiTheme="minorHAnsi" w:hAnsiTheme="minorHAnsi" w:cstheme="minorHAnsi"/>
          <w:szCs w:val="21"/>
        </w:rPr>
        <w:t xml:space="preserve"> (Bates, 2009, p.</w:t>
      </w:r>
      <w:r w:rsidR="00951621" w:rsidRPr="000D6BEA">
        <w:rPr>
          <w:rFonts w:asciiTheme="minorHAnsi" w:hAnsiTheme="minorHAnsi" w:cstheme="minorHAnsi"/>
          <w:szCs w:val="21"/>
        </w:rPr>
        <w:t xml:space="preserve"> </w:t>
      </w:r>
      <w:r w:rsidRPr="000D6BEA">
        <w:rPr>
          <w:rFonts w:asciiTheme="minorHAnsi" w:hAnsiTheme="minorHAnsi" w:cstheme="minorHAnsi"/>
          <w:szCs w:val="21"/>
        </w:rPr>
        <w:t>3).</w:t>
      </w:r>
    </w:p>
    <w:p w14:paraId="4AB1B48F" w14:textId="77777777" w:rsidR="00875BDE" w:rsidRPr="00C7608D" w:rsidRDefault="00875BDE" w:rsidP="00CE427B">
      <w:pPr>
        <w:autoSpaceDE w:val="0"/>
        <w:autoSpaceDN w:val="0"/>
        <w:adjustRightInd w:val="0"/>
        <w:spacing w:line="276" w:lineRule="auto"/>
        <w:ind w:left="720" w:hanging="720"/>
        <w:rPr>
          <w:rFonts w:cs="Times-Roman"/>
        </w:rPr>
      </w:pPr>
    </w:p>
    <w:p w14:paraId="394DC234" w14:textId="77777777" w:rsidR="00085E69" w:rsidRDefault="00085E69" w:rsidP="00CE427B">
      <w:pPr>
        <w:autoSpaceDE w:val="0"/>
        <w:autoSpaceDN w:val="0"/>
        <w:adjustRightInd w:val="0"/>
        <w:spacing w:line="276" w:lineRule="auto"/>
        <w:rPr>
          <w:rFonts w:ascii="Times-Italic" w:hAnsi="Times-Italic" w:cs="Times-Italic"/>
          <w:i/>
          <w:iCs/>
          <w:color w:val="FF0000"/>
          <w:sz w:val="16"/>
          <w:szCs w:val="16"/>
        </w:rPr>
        <w:sectPr w:rsidR="00085E69" w:rsidSect="000374E2">
          <w:pgSz w:w="11907" w:h="16840" w:code="9"/>
          <w:pgMar w:top="1440" w:right="1440" w:bottom="1440" w:left="1440" w:header="431" w:footer="720" w:gutter="0"/>
          <w:cols w:space="720"/>
          <w:docGrid w:linePitch="360"/>
        </w:sectPr>
      </w:pPr>
    </w:p>
    <w:p w14:paraId="5BA7C49E" w14:textId="4DC65D27" w:rsidR="00144980" w:rsidRDefault="00144980" w:rsidP="00CE427B">
      <w:pPr>
        <w:pStyle w:val="Heading1"/>
        <w:pBdr>
          <w:bottom w:val="single" w:sz="4" w:space="1" w:color="auto"/>
        </w:pBdr>
        <w:spacing w:line="276" w:lineRule="auto"/>
      </w:pPr>
      <w:bookmarkStart w:id="140" w:name="_Toc49462485"/>
      <w:r>
        <w:lastRenderedPageBreak/>
        <w:t>evidence piece 16:</w:t>
      </w:r>
      <w:bookmarkEnd w:id="140"/>
    </w:p>
    <w:p w14:paraId="4DEDB43F" w14:textId="22B05FF9" w:rsidR="00F90F66" w:rsidRDefault="00F90F66" w:rsidP="00CE427B">
      <w:pPr>
        <w:pStyle w:val="Heading1"/>
        <w:pBdr>
          <w:bottom w:val="single" w:sz="4" w:space="1" w:color="auto"/>
        </w:pBdr>
        <w:spacing w:line="276" w:lineRule="auto"/>
      </w:pPr>
      <w:bookmarkStart w:id="141" w:name="_Toc49462486"/>
      <w:r>
        <w:t>The role of interagency collaboration as a factor in facilitating employment for people with intellectual disability</w:t>
      </w:r>
      <w:bookmarkEnd w:id="141"/>
    </w:p>
    <w:p w14:paraId="3328A523" w14:textId="77777777" w:rsidR="00F90F66" w:rsidRDefault="00F90F66" w:rsidP="00FA0393"/>
    <w:p w14:paraId="3953F7CC" w14:textId="77777777" w:rsidR="00F90F66" w:rsidRDefault="00F90F66" w:rsidP="00CE427B">
      <w:pPr>
        <w:pStyle w:val="Heading2"/>
      </w:pPr>
      <w:bookmarkStart w:id="142" w:name="_Toc49417762"/>
      <w:bookmarkStart w:id="143" w:name="_Toc49417966"/>
      <w:r>
        <w:t>What is interagency collaboration?</w:t>
      </w:r>
      <w:bookmarkEnd w:id="142"/>
      <w:bookmarkEnd w:id="143"/>
    </w:p>
    <w:p w14:paraId="65561CE8" w14:textId="77777777" w:rsidR="00F90F66" w:rsidRPr="009E5F45" w:rsidRDefault="00F90F66" w:rsidP="009E5F45">
      <w:pPr>
        <w:spacing w:line="276" w:lineRule="auto"/>
        <w:rPr>
          <w:rFonts w:asciiTheme="minorHAnsi" w:hAnsiTheme="minorHAnsi" w:cstheme="minorHAnsi"/>
          <w:szCs w:val="21"/>
        </w:rPr>
      </w:pPr>
      <w:r w:rsidRPr="009E5F45">
        <w:rPr>
          <w:rFonts w:asciiTheme="minorHAnsi" w:hAnsiTheme="minorHAnsi" w:cstheme="minorHAnsi"/>
          <w:szCs w:val="21"/>
        </w:rPr>
        <w:t>Interagency collaboration is defined as:</w:t>
      </w:r>
    </w:p>
    <w:p w14:paraId="339FDB48" w14:textId="791209F1" w:rsidR="00F90F66" w:rsidRPr="009E5F45" w:rsidRDefault="00F90F66" w:rsidP="009E5F45">
      <w:pPr>
        <w:spacing w:line="276" w:lineRule="auto"/>
        <w:ind w:left="360" w:right="360"/>
        <w:rPr>
          <w:rFonts w:asciiTheme="minorHAnsi" w:hAnsiTheme="minorHAnsi" w:cstheme="minorHAnsi"/>
          <w:szCs w:val="21"/>
        </w:rPr>
      </w:pPr>
      <w:r w:rsidRPr="009E5F45">
        <w:rPr>
          <w:rFonts w:asciiTheme="minorHAnsi" w:hAnsiTheme="minorHAnsi" w:cstheme="minorHAnsi"/>
          <w:szCs w:val="21"/>
        </w:rPr>
        <w:t>key people from school personnel, family members, businesses, and human service agencies working together to promote successful post-school outcomes (</w:t>
      </w:r>
      <w:proofErr w:type="spellStart"/>
      <w:r w:rsidRPr="009E5F45">
        <w:rPr>
          <w:rFonts w:asciiTheme="minorHAnsi" w:hAnsiTheme="minorHAnsi" w:cstheme="minorHAnsi"/>
          <w:szCs w:val="21"/>
        </w:rPr>
        <w:t>Steere</w:t>
      </w:r>
      <w:proofErr w:type="spellEnd"/>
      <w:r w:rsidR="00105AF9" w:rsidRPr="009E5F45">
        <w:rPr>
          <w:rFonts w:asciiTheme="minorHAnsi" w:hAnsiTheme="minorHAnsi" w:cstheme="minorHAnsi"/>
          <w:szCs w:val="21"/>
        </w:rPr>
        <w:t xml:space="preserve"> et al.</w:t>
      </w:r>
      <w:r w:rsidRPr="009E5F45">
        <w:rPr>
          <w:rFonts w:asciiTheme="minorHAnsi" w:hAnsiTheme="minorHAnsi" w:cstheme="minorHAnsi"/>
          <w:szCs w:val="21"/>
        </w:rPr>
        <w:t>, 2007</w:t>
      </w:r>
      <w:r w:rsidR="00105AF9" w:rsidRPr="009E5F45">
        <w:rPr>
          <w:rFonts w:asciiTheme="minorHAnsi" w:hAnsiTheme="minorHAnsi" w:cstheme="minorHAnsi"/>
          <w:szCs w:val="21"/>
        </w:rPr>
        <w:t>, as cited in</w:t>
      </w:r>
      <w:r w:rsidRPr="009E5F45">
        <w:rPr>
          <w:rFonts w:asciiTheme="minorHAnsi" w:hAnsiTheme="minorHAnsi" w:cstheme="minorHAnsi"/>
          <w:szCs w:val="21"/>
        </w:rPr>
        <w:t xml:space="preserve"> Taylor et al., 2016, p.</w:t>
      </w:r>
      <w:r w:rsidR="00CB20FA" w:rsidRPr="009E5F45">
        <w:rPr>
          <w:rFonts w:asciiTheme="minorHAnsi" w:hAnsiTheme="minorHAnsi" w:cstheme="minorHAnsi"/>
          <w:szCs w:val="21"/>
        </w:rPr>
        <w:t xml:space="preserve"> </w:t>
      </w:r>
      <w:r w:rsidRPr="009E5F45">
        <w:rPr>
          <w:rFonts w:asciiTheme="minorHAnsi" w:hAnsiTheme="minorHAnsi" w:cstheme="minorHAnsi"/>
          <w:szCs w:val="21"/>
        </w:rPr>
        <w:t>163)</w:t>
      </w:r>
      <w:r w:rsidR="0011617C">
        <w:rPr>
          <w:rFonts w:asciiTheme="minorHAnsi" w:hAnsiTheme="minorHAnsi" w:cstheme="minorHAnsi"/>
          <w:szCs w:val="21"/>
        </w:rPr>
        <w:t>.</w:t>
      </w:r>
    </w:p>
    <w:p w14:paraId="16AC1B52" w14:textId="77777777" w:rsidR="00F90F66" w:rsidRPr="00FA0393" w:rsidRDefault="00F90F66" w:rsidP="00FA0393">
      <w:pPr>
        <w:pStyle w:val="Heading2"/>
      </w:pPr>
      <w:bookmarkStart w:id="144" w:name="_Toc49417763"/>
      <w:bookmarkStart w:id="145" w:name="_Toc49417967"/>
      <w:r w:rsidRPr="00FA0393">
        <w:t>The problem</w:t>
      </w:r>
      <w:bookmarkEnd w:id="144"/>
      <w:bookmarkEnd w:id="145"/>
    </w:p>
    <w:p w14:paraId="63A0DB2C" w14:textId="167D74E4" w:rsidR="00F90F66" w:rsidRPr="009E5F45" w:rsidRDefault="00F90F66" w:rsidP="009E5F45">
      <w:pPr>
        <w:spacing w:line="276" w:lineRule="auto"/>
        <w:rPr>
          <w:rFonts w:asciiTheme="minorHAnsi" w:hAnsiTheme="minorHAnsi" w:cstheme="minorHAnsi"/>
          <w:szCs w:val="21"/>
        </w:rPr>
      </w:pPr>
      <w:r w:rsidRPr="009E5F45">
        <w:rPr>
          <w:rFonts w:asciiTheme="minorHAnsi" w:hAnsiTheme="minorHAnsi" w:cstheme="minorHAnsi"/>
          <w:szCs w:val="21"/>
        </w:rPr>
        <w:t xml:space="preserve">There is consistent reference in the research from multiple countries, and in Australia, to the problem of the complexity of the employment and education systems (e.g. ACIL </w:t>
      </w:r>
      <w:r w:rsidR="004056BB" w:rsidRPr="009E5F45">
        <w:rPr>
          <w:iCs/>
          <w:szCs w:val="21"/>
        </w:rPr>
        <w:t xml:space="preserve">Allen </w:t>
      </w:r>
      <w:r w:rsidRPr="009E5F45">
        <w:rPr>
          <w:rFonts w:asciiTheme="minorHAnsi" w:hAnsiTheme="minorHAnsi" w:cstheme="minorHAnsi"/>
          <w:szCs w:val="21"/>
        </w:rPr>
        <w:t>Consulting, 2017; Foley et al., 201</w:t>
      </w:r>
      <w:r w:rsidR="0011617C">
        <w:rPr>
          <w:rFonts w:asciiTheme="minorHAnsi" w:hAnsiTheme="minorHAnsi" w:cstheme="minorHAnsi"/>
          <w:szCs w:val="21"/>
        </w:rPr>
        <w:t>3)</w:t>
      </w:r>
      <w:r w:rsidRPr="009E5F45">
        <w:rPr>
          <w:rFonts w:asciiTheme="minorHAnsi" w:hAnsiTheme="minorHAnsi" w:cstheme="minorHAnsi"/>
          <w:szCs w:val="21"/>
        </w:rPr>
        <w:t xml:space="preserve">. This creates difficulties for people with disability, their families </w:t>
      </w:r>
      <w:proofErr w:type="gramStart"/>
      <w:r w:rsidRPr="009E5F45">
        <w:rPr>
          <w:rFonts w:asciiTheme="minorHAnsi" w:hAnsiTheme="minorHAnsi" w:cstheme="minorHAnsi"/>
          <w:szCs w:val="21"/>
        </w:rPr>
        <w:t>and also</w:t>
      </w:r>
      <w:proofErr w:type="gramEnd"/>
      <w:r w:rsidRPr="009E5F45">
        <w:rPr>
          <w:rFonts w:asciiTheme="minorHAnsi" w:hAnsiTheme="minorHAnsi" w:cstheme="minorHAnsi"/>
          <w:szCs w:val="21"/>
        </w:rPr>
        <w:t xml:space="preserve"> for service providers in navigating this complex landscape, for which there is </w:t>
      </w:r>
      <w:r w:rsidR="00BB6B20" w:rsidRPr="009E5F45">
        <w:rPr>
          <w:rFonts w:asciiTheme="minorHAnsi" w:hAnsiTheme="minorHAnsi" w:cstheme="minorHAnsi"/>
          <w:szCs w:val="21"/>
        </w:rPr>
        <w:t>“</w:t>
      </w:r>
      <w:r w:rsidRPr="009E5F45">
        <w:rPr>
          <w:rFonts w:asciiTheme="minorHAnsi" w:hAnsiTheme="minorHAnsi" w:cstheme="minorHAnsi"/>
          <w:szCs w:val="21"/>
        </w:rPr>
        <w:t>currently no guide</w:t>
      </w:r>
      <w:r w:rsidR="00BB6B20" w:rsidRPr="009E5F45">
        <w:rPr>
          <w:rFonts w:asciiTheme="minorHAnsi" w:hAnsiTheme="minorHAnsi" w:cstheme="minorHAnsi"/>
          <w:szCs w:val="21"/>
        </w:rPr>
        <w:t>”</w:t>
      </w:r>
      <w:r w:rsidRPr="009E5F45">
        <w:rPr>
          <w:rFonts w:asciiTheme="minorHAnsi" w:hAnsiTheme="minorHAnsi" w:cstheme="minorHAnsi"/>
          <w:szCs w:val="21"/>
        </w:rPr>
        <w:t xml:space="preserve"> (ACIL </w:t>
      </w:r>
      <w:r w:rsidR="004056BB" w:rsidRPr="009E5F45">
        <w:rPr>
          <w:iCs/>
          <w:szCs w:val="21"/>
        </w:rPr>
        <w:t xml:space="preserve">Allen </w:t>
      </w:r>
      <w:r w:rsidRPr="009E5F45">
        <w:rPr>
          <w:rFonts w:asciiTheme="minorHAnsi" w:hAnsiTheme="minorHAnsi" w:cstheme="minorHAnsi"/>
          <w:szCs w:val="21"/>
        </w:rPr>
        <w:t>Consulting, 2017, p.</w:t>
      </w:r>
      <w:r w:rsidR="004056BB" w:rsidRPr="009E5F45">
        <w:rPr>
          <w:rFonts w:asciiTheme="minorHAnsi" w:hAnsiTheme="minorHAnsi" w:cstheme="minorHAnsi"/>
          <w:szCs w:val="21"/>
        </w:rPr>
        <w:t xml:space="preserve"> </w:t>
      </w:r>
      <w:r w:rsidRPr="009E5F45">
        <w:rPr>
          <w:rFonts w:asciiTheme="minorHAnsi" w:hAnsiTheme="minorHAnsi" w:cstheme="minorHAnsi"/>
          <w:szCs w:val="21"/>
        </w:rPr>
        <w:t>28). International research has highlighted concerns, echoed by Australian research (ACIL</w:t>
      </w:r>
      <w:r w:rsidR="004056BB" w:rsidRPr="009E5F45">
        <w:rPr>
          <w:rFonts w:asciiTheme="minorHAnsi" w:hAnsiTheme="minorHAnsi" w:cstheme="minorHAnsi"/>
          <w:szCs w:val="21"/>
        </w:rPr>
        <w:t xml:space="preserve"> </w:t>
      </w:r>
      <w:r w:rsidR="004056BB" w:rsidRPr="009E5F45">
        <w:rPr>
          <w:iCs/>
          <w:szCs w:val="21"/>
        </w:rPr>
        <w:t>Allen</w:t>
      </w:r>
      <w:r w:rsidRPr="009E5F45">
        <w:rPr>
          <w:rFonts w:asciiTheme="minorHAnsi" w:hAnsiTheme="minorHAnsi" w:cstheme="minorHAnsi"/>
          <w:szCs w:val="21"/>
        </w:rPr>
        <w:t xml:space="preserve"> Consulting, 2017), </w:t>
      </w:r>
      <w:proofErr w:type="gramStart"/>
      <w:r w:rsidRPr="009E5F45">
        <w:rPr>
          <w:rFonts w:asciiTheme="minorHAnsi" w:hAnsiTheme="minorHAnsi" w:cstheme="minorHAnsi"/>
          <w:szCs w:val="21"/>
        </w:rPr>
        <w:t>in regard to</w:t>
      </w:r>
      <w:proofErr w:type="gramEnd"/>
      <w:r w:rsidRPr="009E5F45">
        <w:rPr>
          <w:rFonts w:asciiTheme="minorHAnsi" w:hAnsiTheme="minorHAnsi" w:cstheme="minorHAnsi"/>
          <w:szCs w:val="21"/>
        </w:rPr>
        <w:t>:</w:t>
      </w:r>
    </w:p>
    <w:p w14:paraId="2D0524A4" w14:textId="65F9FD0F" w:rsidR="00F90F66" w:rsidRPr="009E5F45" w:rsidRDefault="00F90F66" w:rsidP="009E5F45">
      <w:pPr>
        <w:spacing w:line="276" w:lineRule="auto"/>
        <w:ind w:left="360" w:right="270"/>
        <w:rPr>
          <w:rFonts w:asciiTheme="minorHAnsi" w:hAnsiTheme="minorHAnsi" w:cstheme="minorHAnsi"/>
          <w:szCs w:val="21"/>
        </w:rPr>
      </w:pPr>
      <w:r w:rsidRPr="009E5F45">
        <w:rPr>
          <w:rFonts w:asciiTheme="minorHAnsi" w:hAnsiTheme="minorHAnsi" w:cstheme="minorHAnsi"/>
          <w:szCs w:val="21"/>
        </w:rPr>
        <w:t>the difficulty students and their parents face navigating services across different programs during the transition to adult life, limited coordination across agencies, and a lack of information about the full range of service options available to young adults with disabilities (Hall et al., 2018, p.</w:t>
      </w:r>
      <w:r w:rsidR="004056BB" w:rsidRPr="009E5F45">
        <w:rPr>
          <w:rFonts w:asciiTheme="minorHAnsi" w:hAnsiTheme="minorHAnsi" w:cstheme="minorHAnsi"/>
          <w:szCs w:val="21"/>
        </w:rPr>
        <w:t xml:space="preserve"> </w:t>
      </w:r>
      <w:r w:rsidRPr="009E5F45">
        <w:rPr>
          <w:rFonts w:asciiTheme="minorHAnsi" w:hAnsiTheme="minorHAnsi" w:cstheme="minorHAnsi"/>
          <w:szCs w:val="21"/>
        </w:rPr>
        <w:t>209)</w:t>
      </w:r>
      <w:r w:rsidR="0011617C">
        <w:rPr>
          <w:rFonts w:asciiTheme="minorHAnsi" w:hAnsiTheme="minorHAnsi" w:cstheme="minorHAnsi"/>
          <w:szCs w:val="21"/>
        </w:rPr>
        <w:t>.</w:t>
      </w:r>
    </w:p>
    <w:p w14:paraId="395B7282" w14:textId="77777777" w:rsidR="00F90F66" w:rsidRPr="000E4966" w:rsidRDefault="00F90F66" w:rsidP="000E4966">
      <w:pPr>
        <w:pStyle w:val="Heading2"/>
      </w:pPr>
      <w:bookmarkStart w:id="146" w:name="_Toc49417764"/>
      <w:bookmarkStart w:id="147" w:name="_Toc49417968"/>
      <w:r w:rsidRPr="000E4966">
        <w:t>The solution</w:t>
      </w:r>
      <w:bookmarkEnd w:id="146"/>
      <w:bookmarkEnd w:id="147"/>
    </w:p>
    <w:p w14:paraId="0444B148" w14:textId="40746FA7" w:rsidR="00F90F66" w:rsidRPr="009E5F45" w:rsidRDefault="00F90F66" w:rsidP="009E5F45">
      <w:pPr>
        <w:spacing w:line="276" w:lineRule="auto"/>
        <w:rPr>
          <w:rFonts w:asciiTheme="minorHAnsi" w:hAnsiTheme="minorHAnsi" w:cstheme="minorHAnsi"/>
          <w:szCs w:val="21"/>
        </w:rPr>
      </w:pPr>
      <w:r w:rsidRPr="009E5F45">
        <w:rPr>
          <w:rFonts w:asciiTheme="minorHAnsi" w:hAnsiTheme="minorHAnsi" w:cstheme="minorHAnsi"/>
          <w:szCs w:val="21"/>
        </w:rPr>
        <w:t>In response to these issues, calls for greater collaboration and coordination across programs and services have been consistently made by researchers in multiple countries (for example, Hall et al.</w:t>
      </w:r>
      <w:r w:rsidR="000F121B" w:rsidRPr="009E5F45">
        <w:rPr>
          <w:rFonts w:asciiTheme="minorHAnsi" w:hAnsiTheme="minorHAnsi" w:cstheme="minorHAnsi"/>
          <w:szCs w:val="21"/>
        </w:rPr>
        <w:t>,</w:t>
      </w:r>
      <w:r w:rsidRPr="009E5F45">
        <w:rPr>
          <w:rFonts w:asciiTheme="minorHAnsi" w:hAnsiTheme="minorHAnsi" w:cstheme="minorHAnsi"/>
          <w:szCs w:val="21"/>
        </w:rPr>
        <w:t xml:space="preserve"> 2018; Kohler &amp; Field, 2003; </w:t>
      </w:r>
      <w:proofErr w:type="spellStart"/>
      <w:r w:rsidRPr="009E5F45">
        <w:rPr>
          <w:rFonts w:asciiTheme="minorHAnsi" w:hAnsiTheme="minorHAnsi" w:cstheme="minorHAnsi"/>
          <w:szCs w:val="21"/>
        </w:rPr>
        <w:t>Molfenter</w:t>
      </w:r>
      <w:proofErr w:type="spellEnd"/>
      <w:r w:rsidRPr="009E5F45">
        <w:rPr>
          <w:rFonts w:asciiTheme="minorHAnsi" w:hAnsiTheme="minorHAnsi" w:cstheme="minorHAnsi"/>
          <w:szCs w:val="21"/>
        </w:rPr>
        <w:t xml:space="preserve"> et al., 2017). </w:t>
      </w:r>
    </w:p>
    <w:p w14:paraId="5A51D8A4" w14:textId="77777777" w:rsidR="00F90F66" w:rsidRPr="009E5F45" w:rsidRDefault="00F90F66" w:rsidP="009E5F45">
      <w:pPr>
        <w:spacing w:line="276" w:lineRule="auto"/>
        <w:rPr>
          <w:rFonts w:asciiTheme="minorHAnsi" w:hAnsiTheme="minorHAnsi" w:cstheme="minorHAnsi"/>
          <w:szCs w:val="21"/>
        </w:rPr>
      </w:pPr>
      <w:r w:rsidRPr="009E5F45">
        <w:rPr>
          <w:rFonts w:asciiTheme="minorHAnsi" w:hAnsiTheme="minorHAnsi" w:cstheme="minorHAnsi"/>
          <w:szCs w:val="21"/>
        </w:rPr>
        <w:t>The principles for successful school to work transition (Kohler, 1996) highlight the importance of inter-agency collaboration as an underpinning to programs supporting transition to work or post-school education.</w:t>
      </w:r>
    </w:p>
    <w:p w14:paraId="10F10258" w14:textId="11C4FDC6" w:rsidR="00F90F66" w:rsidRPr="009E5F45" w:rsidRDefault="00F90F66" w:rsidP="009E5F45">
      <w:pPr>
        <w:spacing w:line="276" w:lineRule="auto"/>
        <w:ind w:left="360"/>
        <w:rPr>
          <w:rFonts w:asciiTheme="minorHAnsi" w:hAnsiTheme="minorHAnsi" w:cstheme="minorHAnsi"/>
          <w:szCs w:val="21"/>
        </w:rPr>
      </w:pPr>
      <w:r w:rsidRPr="009E5F45">
        <w:rPr>
          <w:rFonts w:asciiTheme="minorHAnsi" w:hAnsiTheme="minorHAnsi" w:cstheme="minorHAnsi"/>
          <w:szCs w:val="21"/>
        </w:rPr>
        <w:t xml:space="preserve">Interagency Collaboration practices … facilitate involvement of community businesses, </w:t>
      </w:r>
      <w:proofErr w:type="spellStart"/>
      <w:r w:rsidRPr="009E5F45">
        <w:rPr>
          <w:rFonts w:asciiTheme="minorHAnsi" w:hAnsiTheme="minorHAnsi" w:cstheme="minorHAnsi"/>
          <w:szCs w:val="21"/>
        </w:rPr>
        <w:t>organisations</w:t>
      </w:r>
      <w:proofErr w:type="spellEnd"/>
      <w:r w:rsidRPr="009E5F45">
        <w:rPr>
          <w:rFonts w:asciiTheme="minorHAnsi" w:hAnsiTheme="minorHAnsi" w:cstheme="minorHAnsi"/>
          <w:szCs w:val="21"/>
        </w:rPr>
        <w:t xml:space="preserve">, and agencies in transition education including interagency agreements that articulate roles, responsibilities, communications, and other strategies to foster collaboration and enhance curriculum and program development (Wakeford &amp; Waugh, 2014, p. </w:t>
      </w:r>
      <w:r w:rsidR="00181787" w:rsidRPr="009E5F45">
        <w:rPr>
          <w:rFonts w:asciiTheme="minorHAnsi" w:hAnsiTheme="minorHAnsi" w:cstheme="minorHAnsi"/>
          <w:szCs w:val="21"/>
        </w:rPr>
        <w:t>22</w:t>
      </w:r>
      <w:r w:rsidRPr="009E5F45">
        <w:rPr>
          <w:rFonts w:asciiTheme="minorHAnsi" w:hAnsiTheme="minorHAnsi" w:cstheme="minorHAnsi"/>
          <w:szCs w:val="21"/>
        </w:rPr>
        <w:t>)</w:t>
      </w:r>
      <w:r w:rsidR="0011617C">
        <w:rPr>
          <w:rFonts w:asciiTheme="minorHAnsi" w:hAnsiTheme="minorHAnsi" w:cstheme="minorHAnsi"/>
          <w:szCs w:val="21"/>
        </w:rPr>
        <w:t>.</w:t>
      </w:r>
    </w:p>
    <w:p w14:paraId="08F399A0" w14:textId="77777777" w:rsidR="00F90F66" w:rsidRPr="009E5F45" w:rsidRDefault="00F90F66" w:rsidP="009E5F45">
      <w:pPr>
        <w:spacing w:line="276" w:lineRule="auto"/>
        <w:rPr>
          <w:rFonts w:asciiTheme="minorHAnsi" w:hAnsiTheme="minorHAnsi" w:cstheme="minorHAnsi"/>
          <w:szCs w:val="21"/>
        </w:rPr>
      </w:pPr>
      <w:r w:rsidRPr="009E5F45">
        <w:rPr>
          <w:rFonts w:asciiTheme="minorHAnsi" w:hAnsiTheme="minorHAnsi" w:cstheme="minorHAnsi"/>
          <w:szCs w:val="21"/>
        </w:rPr>
        <w:t xml:space="preserve">Kohler &amp; Field (2003), US researchers in this field, document </w:t>
      </w:r>
      <w:proofErr w:type="gramStart"/>
      <w:r w:rsidRPr="009E5F45">
        <w:rPr>
          <w:rFonts w:asciiTheme="minorHAnsi" w:hAnsiTheme="minorHAnsi" w:cstheme="minorHAnsi"/>
          <w:szCs w:val="21"/>
        </w:rPr>
        <w:t>a number of</w:t>
      </w:r>
      <w:proofErr w:type="gramEnd"/>
      <w:r w:rsidRPr="009E5F45">
        <w:rPr>
          <w:rFonts w:asciiTheme="minorHAnsi" w:hAnsiTheme="minorHAnsi" w:cstheme="minorHAnsi"/>
          <w:szCs w:val="21"/>
        </w:rPr>
        <w:t xml:space="preserve"> research studies that confirm</w:t>
      </w:r>
    </w:p>
    <w:p w14:paraId="045956AF" w14:textId="4D4848EE" w:rsidR="00F90F66" w:rsidRPr="009E5F45" w:rsidRDefault="00F90F66" w:rsidP="009E5F45">
      <w:pPr>
        <w:spacing w:line="276" w:lineRule="auto"/>
        <w:ind w:left="360"/>
        <w:rPr>
          <w:rFonts w:asciiTheme="minorHAnsi" w:hAnsiTheme="minorHAnsi" w:cstheme="minorHAnsi"/>
          <w:szCs w:val="21"/>
        </w:rPr>
      </w:pPr>
      <w:r w:rsidRPr="009E5F45">
        <w:rPr>
          <w:rFonts w:asciiTheme="minorHAnsi" w:hAnsiTheme="minorHAnsi" w:cstheme="minorHAnsi"/>
          <w:szCs w:val="21"/>
        </w:rPr>
        <w:t>that interagency collaboration and support for individual students in transition and their families is a factor so important that when done well, it facilitates achievement of transition goals, and when done poorly, it limits or impedes those goals (p.</w:t>
      </w:r>
      <w:r w:rsidR="00BB6B20" w:rsidRPr="009E5F45">
        <w:rPr>
          <w:rFonts w:asciiTheme="minorHAnsi" w:hAnsiTheme="minorHAnsi" w:cstheme="minorHAnsi"/>
          <w:szCs w:val="21"/>
        </w:rPr>
        <w:t xml:space="preserve"> </w:t>
      </w:r>
      <w:r w:rsidRPr="009E5F45">
        <w:rPr>
          <w:rFonts w:asciiTheme="minorHAnsi" w:hAnsiTheme="minorHAnsi" w:cstheme="minorHAnsi"/>
          <w:szCs w:val="21"/>
        </w:rPr>
        <w:t>178)</w:t>
      </w:r>
      <w:r w:rsidR="0011617C">
        <w:rPr>
          <w:rFonts w:asciiTheme="minorHAnsi" w:hAnsiTheme="minorHAnsi" w:cstheme="minorHAnsi"/>
          <w:szCs w:val="21"/>
        </w:rPr>
        <w:t>.</w:t>
      </w:r>
    </w:p>
    <w:p w14:paraId="725F3CF4" w14:textId="77777777" w:rsidR="00F90F66" w:rsidRPr="009E5F45" w:rsidRDefault="00F90F66" w:rsidP="009E5F45">
      <w:pPr>
        <w:spacing w:line="276" w:lineRule="auto"/>
        <w:rPr>
          <w:rFonts w:asciiTheme="minorHAnsi" w:hAnsiTheme="minorHAnsi" w:cstheme="minorHAnsi"/>
          <w:szCs w:val="21"/>
        </w:rPr>
      </w:pPr>
      <w:r w:rsidRPr="009E5F45">
        <w:rPr>
          <w:rFonts w:asciiTheme="minorHAnsi" w:hAnsiTheme="minorHAnsi" w:cstheme="minorHAnsi"/>
          <w:szCs w:val="21"/>
        </w:rPr>
        <w:t>Similarly, a more recent US study confirms:</w:t>
      </w:r>
    </w:p>
    <w:p w14:paraId="4AB2647C" w14:textId="75F6170C" w:rsidR="00F90F66" w:rsidRPr="009E5F45" w:rsidRDefault="00F90F66" w:rsidP="009E5F45">
      <w:pPr>
        <w:spacing w:line="276" w:lineRule="auto"/>
        <w:ind w:left="360" w:right="360"/>
        <w:rPr>
          <w:rFonts w:asciiTheme="minorHAnsi" w:hAnsiTheme="minorHAnsi" w:cstheme="minorHAnsi"/>
          <w:szCs w:val="21"/>
        </w:rPr>
      </w:pPr>
      <w:r w:rsidRPr="009E5F45">
        <w:rPr>
          <w:rFonts w:asciiTheme="minorHAnsi" w:hAnsiTheme="minorHAnsi" w:cstheme="minorHAnsi"/>
          <w:szCs w:val="21"/>
        </w:rPr>
        <w:lastRenderedPageBreak/>
        <w:t>Interagency collaboration is well established as a predictor of employment outcomes during transition (Butterworth et al., 2017, p.</w:t>
      </w:r>
      <w:r w:rsidR="00260BA3" w:rsidRPr="009E5F45">
        <w:rPr>
          <w:rFonts w:asciiTheme="minorHAnsi" w:hAnsiTheme="minorHAnsi" w:cstheme="minorHAnsi"/>
          <w:szCs w:val="21"/>
        </w:rPr>
        <w:t xml:space="preserve"> </w:t>
      </w:r>
      <w:r w:rsidRPr="009E5F45">
        <w:rPr>
          <w:rFonts w:asciiTheme="minorHAnsi" w:hAnsiTheme="minorHAnsi" w:cstheme="minorHAnsi"/>
          <w:szCs w:val="21"/>
        </w:rPr>
        <w:t>266)</w:t>
      </w:r>
      <w:r w:rsidR="0011617C">
        <w:rPr>
          <w:rFonts w:asciiTheme="minorHAnsi" w:hAnsiTheme="minorHAnsi" w:cstheme="minorHAnsi"/>
          <w:szCs w:val="21"/>
        </w:rPr>
        <w:t>.</w:t>
      </w:r>
    </w:p>
    <w:p w14:paraId="38C5CF06" w14:textId="728F13C3" w:rsidR="00F90F66" w:rsidRPr="009E5F45" w:rsidRDefault="00F90F66" w:rsidP="009E5F45">
      <w:pPr>
        <w:spacing w:line="276" w:lineRule="auto"/>
        <w:rPr>
          <w:rFonts w:asciiTheme="minorHAnsi" w:hAnsiTheme="minorHAnsi" w:cstheme="minorHAnsi"/>
          <w:szCs w:val="21"/>
        </w:rPr>
      </w:pPr>
      <w:r w:rsidRPr="009E5F45">
        <w:rPr>
          <w:rFonts w:asciiTheme="minorHAnsi" w:hAnsiTheme="minorHAnsi" w:cstheme="minorHAnsi"/>
          <w:szCs w:val="21"/>
        </w:rPr>
        <w:t>Interagency collaboration can occur at several levels: 1. around a single school and its students, 2. on a broader local or regional basis, 3. at the level of State policies and programs (Butterworth et al.</w:t>
      </w:r>
      <w:r w:rsidR="00260BA3" w:rsidRPr="009E5F45">
        <w:rPr>
          <w:rFonts w:asciiTheme="minorHAnsi" w:hAnsiTheme="minorHAnsi" w:cstheme="minorHAnsi"/>
          <w:szCs w:val="21"/>
        </w:rPr>
        <w:t>,</w:t>
      </w:r>
      <w:r w:rsidRPr="009E5F45">
        <w:rPr>
          <w:rFonts w:asciiTheme="minorHAnsi" w:hAnsiTheme="minorHAnsi" w:cstheme="minorHAnsi"/>
          <w:szCs w:val="21"/>
        </w:rPr>
        <w:t xml:space="preserve"> 2017).</w:t>
      </w:r>
    </w:p>
    <w:p w14:paraId="17A3FB30" w14:textId="7CDF2742" w:rsidR="00F90F66" w:rsidRPr="009E5F45" w:rsidRDefault="00F90F66" w:rsidP="009E5F45">
      <w:pPr>
        <w:spacing w:line="276" w:lineRule="auto"/>
        <w:ind w:left="360" w:right="360"/>
        <w:rPr>
          <w:rFonts w:asciiTheme="minorHAnsi" w:hAnsiTheme="minorHAnsi" w:cstheme="minorHAnsi"/>
          <w:szCs w:val="21"/>
        </w:rPr>
      </w:pPr>
      <w:r w:rsidRPr="009E5F45">
        <w:rPr>
          <w:rFonts w:asciiTheme="minorHAnsi" w:hAnsiTheme="minorHAnsi" w:cstheme="minorHAnsi"/>
          <w:szCs w:val="21"/>
        </w:rPr>
        <w:t>Interagency collaboration can also be addressed on a wider basis than an individual school collaborating with individual businesses, post-school service and educational providers. Community transition teams consisting of secondary school transition personnel, post-school providers, employer groups, parents, chambers of commerce can identify common goals, address local transition issues and work together to solve the transition problems that exist in local communities (Meadows, 2012</w:t>
      </w:r>
      <w:r w:rsidR="00581AF7" w:rsidRPr="009E5F45">
        <w:rPr>
          <w:rFonts w:asciiTheme="minorHAnsi" w:hAnsiTheme="minorHAnsi" w:cstheme="minorHAnsi"/>
          <w:szCs w:val="21"/>
        </w:rPr>
        <w:t>,</w:t>
      </w:r>
      <w:r w:rsidRPr="009E5F45">
        <w:rPr>
          <w:rFonts w:asciiTheme="minorHAnsi" w:hAnsiTheme="minorHAnsi" w:cstheme="minorHAnsi"/>
          <w:szCs w:val="21"/>
        </w:rPr>
        <w:t xml:space="preserve"> </w:t>
      </w:r>
      <w:r w:rsidR="00581AF7" w:rsidRPr="009E5F45">
        <w:rPr>
          <w:rFonts w:asciiTheme="minorHAnsi" w:hAnsiTheme="minorHAnsi" w:cstheme="minorHAnsi"/>
          <w:szCs w:val="21"/>
        </w:rPr>
        <w:t>as cited</w:t>
      </w:r>
      <w:r w:rsidRPr="009E5F45">
        <w:rPr>
          <w:rFonts w:asciiTheme="minorHAnsi" w:hAnsiTheme="minorHAnsi" w:cstheme="minorHAnsi"/>
          <w:szCs w:val="21"/>
        </w:rPr>
        <w:t xml:space="preserve"> in Wakeford &amp; Waugh, 2014, p.</w:t>
      </w:r>
      <w:r w:rsidR="00181787" w:rsidRPr="009E5F45">
        <w:rPr>
          <w:rFonts w:asciiTheme="minorHAnsi" w:hAnsiTheme="minorHAnsi" w:cstheme="minorHAnsi"/>
          <w:szCs w:val="21"/>
        </w:rPr>
        <w:t xml:space="preserve"> </w:t>
      </w:r>
      <w:r w:rsidRPr="009E5F45">
        <w:rPr>
          <w:rFonts w:asciiTheme="minorHAnsi" w:hAnsiTheme="minorHAnsi" w:cstheme="minorHAnsi"/>
          <w:szCs w:val="21"/>
        </w:rPr>
        <w:t>26)</w:t>
      </w:r>
      <w:r w:rsidR="0011617C">
        <w:rPr>
          <w:rFonts w:asciiTheme="minorHAnsi" w:hAnsiTheme="minorHAnsi" w:cstheme="minorHAnsi"/>
          <w:szCs w:val="21"/>
        </w:rPr>
        <w:t>.</w:t>
      </w:r>
    </w:p>
    <w:p w14:paraId="08E82A65" w14:textId="77777777" w:rsidR="00F90F66" w:rsidRPr="009E5F45" w:rsidRDefault="00F90F66" w:rsidP="009E5F45">
      <w:pPr>
        <w:spacing w:line="276" w:lineRule="auto"/>
        <w:rPr>
          <w:rFonts w:asciiTheme="minorHAnsi" w:hAnsiTheme="minorHAnsi" w:cstheme="minorHAnsi"/>
          <w:szCs w:val="21"/>
        </w:rPr>
      </w:pPr>
      <w:r w:rsidRPr="009E5F45">
        <w:rPr>
          <w:rFonts w:asciiTheme="minorHAnsi" w:hAnsiTheme="minorHAnsi" w:cstheme="minorHAnsi"/>
          <w:szCs w:val="21"/>
        </w:rPr>
        <w:t>The key strategies used by collaborative partnerships include:</w:t>
      </w:r>
    </w:p>
    <w:p w14:paraId="4DAF22E2" w14:textId="77777777" w:rsidR="00F90F66" w:rsidRPr="009E5F45" w:rsidRDefault="00F90F66" w:rsidP="009E5F45">
      <w:pPr>
        <w:pStyle w:val="ListParagraph"/>
        <w:numPr>
          <w:ilvl w:val="0"/>
          <w:numId w:val="64"/>
        </w:numPr>
        <w:spacing w:line="276" w:lineRule="auto"/>
        <w:rPr>
          <w:rFonts w:asciiTheme="minorHAnsi" w:hAnsiTheme="minorHAnsi" w:cstheme="minorHAnsi"/>
          <w:szCs w:val="21"/>
        </w:rPr>
      </w:pPr>
      <w:r w:rsidRPr="009E5F45">
        <w:rPr>
          <w:rFonts w:asciiTheme="minorHAnsi" w:hAnsiTheme="minorHAnsi" w:cstheme="minorHAnsi"/>
          <w:szCs w:val="21"/>
        </w:rPr>
        <w:t xml:space="preserve">provision of training, </w:t>
      </w:r>
    </w:p>
    <w:p w14:paraId="52DA08CC" w14:textId="77777777" w:rsidR="00F90F66" w:rsidRPr="009E5F45" w:rsidRDefault="00F90F66" w:rsidP="009E5F45">
      <w:pPr>
        <w:pStyle w:val="ListParagraph"/>
        <w:numPr>
          <w:ilvl w:val="0"/>
          <w:numId w:val="64"/>
        </w:numPr>
        <w:spacing w:line="276" w:lineRule="auto"/>
        <w:rPr>
          <w:rFonts w:asciiTheme="minorHAnsi" w:hAnsiTheme="minorHAnsi" w:cstheme="minorHAnsi"/>
          <w:szCs w:val="21"/>
        </w:rPr>
      </w:pPr>
      <w:r w:rsidRPr="009E5F45">
        <w:rPr>
          <w:rFonts w:asciiTheme="minorHAnsi" w:hAnsiTheme="minorHAnsi" w:cstheme="minorHAnsi"/>
          <w:szCs w:val="21"/>
        </w:rPr>
        <w:t xml:space="preserve">coordinated referral, </w:t>
      </w:r>
    </w:p>
    <w:p w14:paraId="11906C01" w14:textId="77777777" w:rsidR="00F90F66" w:rsidRPr="009E5F45" w:rsidRDefault="00F90F66" w:rsidP="009E5F45">
      <w:pPr>
        <w:pStyle w:val="ListParagraph"/>
        <w:numPr>
          <w:ilvl w:val="0"/>
          <w:numId w:val="64"/>
        </w:numPr>
        <w:spacing w:line="276" w:lineRule="auto"/>
        <w:rPr>
          <w:rFonts w:asciiTheme="minorHAnsi" w:hAnsiTheme="minorHAnsi" w:cstheme="minorHAnsi"/>
          <w:szCs w:val="21"/>
        </w:rPr>
      </w:pPr>
      <w:r w:rsidRPr="009E5F45">
        <w:rPr>
          <w:rFonts w:asciiTheme="minorHAnsi" w:hAnsiTheme="minorHAnsi" w:cstheme="minorHAnsi"/>
          <w:szCs w:val="21"/>
        </w:rPr>
        <w:t xml:space="preserve">co-location (i.e. employment/transition specialist placed in school), </w:t>
      </w:r>
    </w:p>
    <w:p w14:paraId="6C8C196F" w14:textId="77777777" w:rsidR="00F90F66" w:rsidRPr="009E5F45" w:rsidRDefault="00F90F66" w:rsidP="009E5F45">
      <w:pPr>
        <w:pStyle w:val="ListParagraph"/>
        <w:numPr>
          <w:ilvl w:val="0"/>
          <w:numId w:val="64"/>
        </w:numPr>
        <w:spacing w:line="276" w:lineRule="auto"/>
        <w:rPr>
          <w:rFonts w:asciiTheme="minorHAnsi" w:hAnsiTheme="minorHAnsi" w:cstheme="minorHAnsi"/>
          <w:szCs w:val="21"/>
        </w:rPr>
      </w:pPr>
      <w:r w:rsidRPr="009E5F45">
        <w:rPr>
          <w:rFonts w:asciiTheme="minorHAnsi" w:hAnsiTheme="minorHAnsi" w:cstheme="minorHAnsi"/>
          <w:szCs w:val="21"/>
        </w:rPr>
        <w:t xml:space="preserve">holding joint meetings between individual with disability, service providers, school and other stakeholders, </w:t>
      </w:r>
    </w:p>
    <w:p w14:paraId="55B8A492" w14:textId="77777777" w:rsidR="00F90F66" w:rsidRPr="009E5F45" w:rsidRDefault="00F90F66" w:rsidP="009E5F45">
      <w:pPr>
        <w:pStyle w:val="ListParagraph"/>
        <w:numPr>
          <w:ilvl w:val="0"/>
          <w:numId w:val="64"/>
        </w:numPr>
        <w:spacing w:line="276" w:lineRule="auto"/>
        <w:rPr>
          <w:rFonts w:asciiTheme="minorHAnsi" w:hAnsiTheme="minorHAnsi" w:cstheme="minorHAnsi"/>
          <w:szCs w:val="21"/>
        </w:rPr>
      </w:pPr>
      <w:r w:rsidRPr="009E5F45">
        <w:rPr>
          <w:rFonts w:asciiTheme="minorHAnsi" w:hAnsiTheme="minorHAnsi" w:cstheme="minorHAnsi"/>
          <w:szCs w:val="21"/>
        </w:rPr>
        <w:t>creating inter-agency collaborative teams (to support transition activities and employment placement)</w:t>
      </w:r>
    </w:p>
    <w:p w14:paraId="278E4896" w14:textId="77777777" w:rsidR="00F90F66" w:rsidRPr="009E5F45" w:rsidRDefault="00F90F66" w:rsidP="009E5F45">
      <w:pPr>
        <w:pStyle w:val="ListParagraph"/>
        <w:numPr>
          <w:ilvl w:val="0"/>
          <w:numId w:val="64"/>
        </w:numPr>
        <w:spacing w:line="276" w:lineRule="auto"/>
        <w:rPr>
          <w:rFonts w:asciiTheme="minorHAnsi" w:hAnsiTheme="minorHAnsi" w:cstheme="minorHAnsi"/>
          <w:szCs w:val="21"/>
        </w:rPr>
      </w:pPr>
      <w:r w:rsidRPr="009E5F45">
        <w:rPr>
          <w:rFonts w:asciiTheme="minorHAnsi" w:hAnsiTheme="minorHAnsi" w:cstheme="minorHAnsi"/>
          <w:szCs w:val="21"/>
        </w:rPr>
        <w:t>creating and sharing resources and information for all stakeholders</w:t>
      </w:r>
    </w:p>
    <w:p w14:paraId="18836A47" w14:textId="77777777" w:rsidR="00F90F66" w:rsidRPr="009E5F45" w:rsidRDefault="00F90F66" w:rsidP="009E5F45">
      <w:pPr>
        <w:pStyle w:val="ListParagraph"/>
        <w:numPr>
          <w:ilvl w:val="0"/>
          <w:numId w:val="64"/>
        </w:numPr>
        <w:spacing w:line="276" w:lineRule="auto"/>
        <w:rPr>
          <w:rFonts w:asciiTheme="minorHAnsi" w:hAnsiTheme="minorHAnsi" w:cstheme="minorHAnsi"/>
          <w:szCs w:val="21"/>
        </w:rPr>
      </w:pPr>
      <w:r w:rsidRPr="009E5F45">
        <w:rPr>
          <w:rFonts w:asciiTheme="minorHAnsi" w:hAnsiTheme="minorHAnsi" w:cstheme="minorHAnsi"/>
          <w:szCs w:val="21"/>
        </w:rPr>
        <w:t>hosting a community transition committee to coordinate activity</w:t>
      </w:r>
    </w:p>
    <w:p w14:paraId="0490D9B9" w14:textId="77777777" w:rsidR="00F90F66" w:rsidRPr="009E5F45" w:rsidRDefault="00F90F66" w:rsidP="009E5F45">
      <w:pPr>
        <w:pStyle w:val="ListParagraph"/>
        <w:numPr>
          <w:ilvl w:val="0"/>
          <w:numId w:val="64"/>
        </w:numPr>
        <w:spacing w:line="276" w:lineRule="auto"/>
        <w:rPr>
          <w:rFonts w:asciiTheme="minorHAnsi" w:hAnsiTheme="minorHAnsi" w:cstheme="minorHAnsi"/>
          <w:szCs w:val="21"/>
        </w:rPr>
      </w:pPr>
      <w:r w:rsidRPr="009E5F45">
        <w:rPr>
          <w:rFonts w:asciiTheme="minorHAnsi" w:hAnsiTheme="minorHAnsi" w:cstheme="minorHAnsi"/>
          <w:szCs w:val="21"/>
        </w:rPr>
        <w:t>sharing funding (Taylor et al., 2016)</w:t>
      </w:r>
    </w:p>
    <w:p w14:paraId="43FD3CF6" w14:textId="77777777" w:rsidR="00F90F66" w:rsidRPr="009E5F45" w:rsidRDefault="00F90F66" w:rsidP="009E5F45">
      <w:pPr>
        <w:pStyle w:val="ListParagraph"/>
        <w:numPr>
          <w:ilvl w:val="0"/>
          <w:numId w:val="64"/>
        </w:numPr>
        <w:spacing w:line="276" w:lineRule="auto"/>
        <w:rPr>
          <w:rFonts w:asciiTheme="minorHAnsi" w:hAnsiTheme="minorHAnsi" w:cstheme="minorHAnsi"/>
          <w:szCs w:val="21"/>
        </w:rPr>
      </w:pPr>
      <w:r w:rsidRPr="009E5F45">
        <w:rPr>
          <w:rFonts w:asciiTheme="minorHAnsi" w:hAnsiTheme="minorHAnsi" w:cstheme="minorHAnsi"/>
          <w:szCs w:val="21"/>
        </w:rPr>
        <w:t>cross pollinating ideas and brainstorming strategies to overcome barriers</w:t>
      </w:r>
    </w:p>
    <w:p w14:paraId="65189064" w14:textId="77777777" w:rsidR="00F90F66" w:rsidRPr="009E5F45" w:rsidRDefault="00F90F66" w:rsidP="009E5F45">
      <w:pPr>
        <w:pStyle w:val="ListParagraph"/>
        <w:numPr>
          <w:ilvl w:val="0"/>
          <w:numId w:val="64"/>
        </w:numPr>
        <w:spacing w:line="276" w:lineRule="auto"/>
        <w:rPr>
          <w:rFonts w:asciiTheme="minorHAnsi" w:hAnsiTheme="minorHAnsi" w:cstheme="minorHAnsi"/>
          <w:szCs w:val="21"/>
        </w:rPr>
      </w:pPr>
      <w:r w:rsidRPr="009E5F45">
        <w:rPr>
          <w:rFonts w:asciiTheme="minorHAnsi" w:hAnsiTheme="minorHAnsi" w:cstheme="minorHAnsi"/>
          <w:szCs w:val="21"/>
        </w:rPr>
        <w:t>involving young people with disability as self-advocates (</w:t>
      </w:r>
      <w:proofErr w:type="spellStart"/>
      <w:r w:rsidRPr="009E5F45">
        <w:rPr>
          <w:rFonts w:asciiTheme="minorHAnsi" w:hAnsiTheme="minorHAnsi" w:cstheme="minorHAnsi"/>
          <w:szCs w:val="21"/>
        </w:rPr>
        <w:t>Molfenter</w:t>
      </w:r>
      <w:proofErr w:type="spellEnd"/>
      <w:r w:rsidRPr="009E5F45">
        <w:rPr>
          <w:rFonts w:asciiTheme="minorHAnsi" w:hAnsiTheme="minorHAnsi" w:cstheme="minorHAnsi"/>
          <w:szCs w:val="21"/>
        </w:rPr>
        <w:t xml:space="preserve"> et al., 2017).  </w:t>
      </w:r>
    </w:p>
    <w:p w14:paraId="7A684329" w14:textId="77777777" w:rsidR="00F90F66" w:rsidRDefault="00F90F66" w:rsidP="00CE427B">
      <w:pPr>
        <w:pStyle w:val="Heading2"/>
        <w:spacing w:line="276" w:lineRule="auto"/>
      </w:pPr>
      <w:bookmarkStart w:id="148" w:name="_Toc49417765"/>
      <w:bookmarkStart w:id="149" w:name="_Toc49417969"/>
      <w:r>
        <w:t>Programs that work</w:t>
      </w:r>
      <w:bookmarkEnd w:id="148"/>
      <w:bookmarkEnd w:id="149"/>
    </w:p>
    <w:p w14:paraId="3A5C046E" w14:textId="46E2AD6B" w:rsidR="008E5026" w:rsidRPr="009E5F45" w:rsidRDefault="00F90F66" w:rsidP="009E5F45">
      <w:pPr>
        <w:spacing w:line="276" w:lineRule="auto"/>
        <w:rPr>
          <w:szCs w:val="21"/>
        </w:rPr>
      </w:pPr>
      <w:r w:rsidRPr="009E5F45">
        <w:rPr>
          <w:szCs w:val="21"/>
        </w:rPr>
        <w:t xml:space="preserve">Two successful Australian programs that are based on supporting this </w:t>
      </w:r>
      <w:r w:rsidR="00851602" w:rsidRPr="009E5F45">
        <w:rPr>
          <w:szCs w:val="21"/>
        </w:rPr>
        <w:t>cross-sector</w:t>
      </w:r>
      <w:r w:rsidRPr="009E5F45">
        <w:rPr>
          <w:szCs w:val="21"/>
        </w:rPr>
        <w:t xml:space="preserve"> coordination are the National Disability Coordination Officer (NDCO) Program and Ticket to Work.</w:t>
      </w:r>
    </w:p>
    <w:p w14:paraId="5B4F5765" w14:textId="41EC108E" w:rsidR="00F90F66" w:rsidRPr="009E5F45" w:rsidRDefault="00F90F66" w:rsidP="009E5F45">
      <w:pPr>
        <w:pStyle w:val="Number1"/>
        <w:numPr>
          <w:ilvl w:val="0"/>
          <w:numId w:val="66"/>
        </w:numPr>
        <w:spacing w:before="120"/>
        <w:ind w:left="426"/>
      </w:pPr>
      <w:r w:rsidRPr="009E5F45">
        <w:t>National Disability Coordination Officer (NDCO) Program</w:t>
      </w:r>
    </w:p>
    <w:p w14:paraId="0DD8B0C9" w14:textId="171DC2E6" w:rsidR="00F90F66" w:rsidRPr="009E5F45" w:rsidRDefault="00F90F66" w:rsidP="009E5F45">
      <w:pPr>
        <w:spacing w:line="276" w:lineRule="auto"/>
        <w:rPr>
          <w:szCs w:val="21"/>
        </w:rPr>
      </w:pPr>
      <w:r w:rsidRPr="009E5F45">
        <w:rPr>
          <w:szCs w:val="21"/>
        </w:rPr>
        <w:t xml:space="preserve">The NDCO Program is a national program, run through 31 local networks, that aims to build linkages and information in local regions to support the transition of young people with disability from school to post-secondary education and employment (ACIL </w:t>
      </w:r>
      <w:r w:rsidR="004056BB" w:rsidRPr="009E5F45">
        <w:rPr>
          <w:iCs/>
          <w:szCs w:val="21"/>
        </w:rPr>
        <w:t xml:space="preserve">Allen </w:t>
      </w:r>
      <w:r w:rsidRPr="009E5F45">
        <w:rPr>
          <w:szCs w:val="21"/>
        </w:rPr>
        <w:t>Consulting, 2017).</w:t>
      </w:r>
    </w:p>
    <w:p w14:paraId="4D02C27F" w14:textId="17F21194" w:rsidR="00F90F66" w:rsidRPr="009E5F45" w:rsidRDefault="00F90F66" w:rsidP="009E5F45">
      <w:pPr>
        <w:spacing w:line="276" w:lineRule="auto"/>
        <w:ind w:left="357" w:right="448"/>
        <w:rPr>
          <w:szCs w:val="21"/>
        </w:rPr>
      </w:pPr>
      <w:r w:rsidRPr="009E5F45">
        <w:rPr>
          <w:szCs w:val="21"/>
        </w:rPr>
        <w:t xml:space="preserve">The NDCO Program was introduced in response to difficulties faced by people with disability in navigating a complex system of fragmented, overlapping services across the disability, education and employment sectors. The program seeks to build links and coordinate services to reduce systemic barriers — including community attitudes — to participation in education and employment by people with disability (ACIL </w:t>
      </w:r>
      <w:r w:rsidR="004056BB" w:rsidRPr="009E5F45">
        <w:rPr>
          <w:iCs/>
          <w:szCs w:val="21"/>
        </w:rPr>
        <w:t xml:space="preserve">Allen </w:t>
      </w:r>
      <w:r w:rsidRPr="009E5F45">
        <w:rPr>
          <w:szCs w:val="21"/>
        </w:rPr>
        <w:t>Consulting, 2017, p.</w:t>
      </w:r>
      <w:r w:rsidR="004056BB" w:rsidRPr="009E5F45">
        <w:rPr>
          <w:szCs w:val="21"/>
        </w:rPr>
        <w:t xml:space="preserve"> </w:t>
      </w:r>
      <w:r w:rsidRPr="009E5F45">
        <w:rPr>
          <w:szCs w:val="21"/>
        </w:rPr>
        <w:t>16)</w:t>
      </w:r>
      <w:r w:rsidR="0011617C">
        <w:rPr>
          <w:szCs w:val="21"/>
        </w:rPr>
        <w:t>.</w:t>
      </w:r>
    </w:p>
    <w:p w14:paraId="7DEC53CE" w14:textId="30D4F439" w:rsidR="00F90F66" w:rsidRPr="009E5F45" w:rsidRDefault="00F90F66" w:rsidP="009E5F45">
      <w:pPr>
        <w:pStyle w:val="BodyText"/>
        <w:spacing w:after="0" w:line="276" w:lineRule="auto"/>
        <w:rPr>
          <w:rFonts w:asciiTheme="minorHAnsi" w:hAnsiTheme="minorHAnsi"/>
          <w:szCs w:val="21"/>
        </w:rPr>
      </w:pPr>
      <w:r w:rsidRPr="009E5F45">
        <w:rPr>
          <w:rFonts w:asciiTheme="minorHAnsi" w:hAnsiTheme="minorHAnsi"/>
          <w:szCs w:val="21"/>
        </w:rPr>
        <w:t xml:space="preserve">Both employment and participation in post-secondary education by young people with disability have increased in </w:t>
      </w:r>
      <w:proofErr w:type="gramStart"/>
      <w:r w:rsidRPr="009E5F45">
        <w:rPr>
          <w:rFonts w:asciiTheme="minorHAnsi" w:hAnsiTheme="minorHAnsi"/>
          <w:szCs w:val="21"/>
        </w:rPr>
        <w:t>the majority of</w:t>
      </w:r>
      <w:proofErr w:type="gramEnd"/>
      <w:r w:rsidRPr="009E5F45">
        <w:rPr>
          <w:rFonts w:asciiTheme="minorHAnsi" w:hAnsiTheme="minorHAnsi"/>
          <w:szCs w:val="21"/>
        </w:rPr>
        <w:t xml:space="preserve"> regions in which the NDCO Program is operating ((ACIL</w:t>
      </w:r>
      <w:r w:rsidR="004056BB" w:rsidRPr="009E5F45">
        <w:rPr>
          <w:rFonts w:asciiTheme="minorHAnsi" w:hAnsiTheme="minorHAnsi"/>
          <w:szCs w:val="21"/>
        </w:rPr>
        <w:t xml:space="preserve"> </w:t>
      </w:r>
      <w:r w:rsidR="004056BB" w:rsidRPr="009E5F45">
        <w:rPr>
          <w:iCs/>
          <w:szCs w:val="21"/>
        </w:rPr>
        <w:t>Allen</w:t>
      </w:r>
      <w:r w:rsidRPr="009E5F45">
        <w:rPr>
          <w:rFonts w:asciiTheme="minorHAnsi" w:hAnsiTheme="minorHAnsi"/>
          <w:szCs w:val="21"/>
        </w:rPr>
        <w:t xml:space="preserve"> Consulting, 2017). </w:t>
      </w:r>
    </w:p>
    <w:p w14:paraId="6E580596" w14:textId="77777777" w:rsidR="00F90F66" w:rsidRPr="009E5F45" w:rsidRDefault="00F90F66" w:rsidP="009E5F45">
      <w:pPr>
        <w:pStyle w:val="BodyText"/>
        <w:spacing w:after="0" w:line="276" w:lineRule="auto"/>
        <w:rPr>
          <w:rFonts w:asciiTheme="minorHAnsi" w:hAnsiTheme="minorHAnsi"/>
          <w:szCs w:val="21"/>
        </w:rPr>
      </w:pPr>
      <w:r w:rsidRPr="009E5F45">
        <w:rPr>
          <w:rFonts w:asciiTheme="minorHAnsi" w:hAnsiTheme="minorHAnsi"/>
          <w:szCs w:val="21"/>
        </w:rPr>
        <w:t xml:space="preserve">The program has a primary focus on working with services (including schools, post-secondary education providers, and others) rather than working at a case management level with individuals with disability (though there remains flexibility to work directly with this group as well as families and </w:t>
      </w:r>
      <w:proofErr w:type="spellStart"/>
      <w:r w:rsidRPr="009E5F45">
        <w:rPr>
          <w:rFonts w:asciiTheme="minorHAnsi" w:hAnsiTheme="minorHAnsi"/>
          <w:szCs w:val="21"/>
        </w:rPr>
        <w:t>carers</w:t>
      </w:r>
      <w:proofErr w:type="spellEnd"/>
      <w:r w:rsidRPr="009E5F45">
        <w:rPr>
          <w:rFonts w:asciiTheme="minorHAnsi" w:hAnsiTheme="minorHAnsi"/>
          <w:szCs w:val="21"/>
        </w:rPr>
        <w:t>). Key elements in the way the program is run include:</w:t>
      </w:r>
    </w:p>
    <w:p w14:paraId="41DB4028" w14:textId="77777777" w:rsidR="00F90F66" w:rsidRPr="009E5F45" w:rsidRDefault="00F90F66" w:rsidP="009E5F45">
      <w:pPr>
        <w:pStyle w:val="BodyText"/>
        <w:numPr>
          <w:ilvl w:val="0"/>
          <w:numId w:val="63"/>
        </w:numPr>
        <w:spacing w:after="0" w:line="276" w:lineRule="auto"/>
        <w:ind w:right="360"/>
        <w:rPr>
          <w:rFonts w:asciiTheme="minorHAnsi" w:hAnsiTheme="minorHAnsi"/>
          <w:szCs w:val="21"/>
        </w:rPr>
      </w:pPr>
      <w:r w:rsidRPr="009E5F45">
        <w:rPr>
          <w:rFonts w:asciiTheme="minorHAnsi" w:hAnsiTheme="minorHAnsi"/>
          <w:i/>
          <w:szCs w:val="21"/>
        </w:rPr>
        <w:lastRenderedPageBreak/>
        <w:t xml:space="preserve">Impartiality </w:t>
      </w:r>
      <w:r w:rsidRPr="009E5F45">
        <w:rPr>
          <w:rFonts w:asciiTheme="minorHAnsi" w:hAnsiTheme="minorHAnsi"/>
          <w:szCs w:val="21"/>
        </w:rPr>
        <w:t>of information on education and employment options;</w:t>
      </w:r>
      <w:r w:rsidRPr="009E5F45" w:rsidDel="00BB3C80">
        <w:rPr>
          <w:rFonts w:asciiTheme="minorHAnsi" w:hAnsiTheme="minorHAnsi"/>
          <w:szCs w:val="21"/>
        </w:rPr>
        <w:t xml:space="preserve"> </w:t>
      </w:r>
    </w:p>
    <w:p w14:paraId="13391154" w14:textId="3829EFC5" w:rsidR="00F90F66" w:rsidRPr="009E5F45" w:rsidRDefault="00F90F66" w:rsidP="009E5F45">
      <w:pPr>
        <w:pStyle w:val="BodyText"/>
        <w:numPr>
          <w:ilvl w:val="0"/>
          <w:numId w:val="63"/>
        </w:numPr>
        <w:spacing w:after="0" w:line="276" w:lineRule="auto"/>
        <w:ind w:right="360"/>
        <w:rPr>
          <w:rFonts w:asciiTheme="minorHAnsi" w:hAnsiTheme="minorHAnsi"/>
          <w:szCs w:val="21"/>
        </w:rPr>
      </w:pPr>
      <w:r w:rsidRPr="009E5F45">
        <w:rPr>
          <w:rFonts w:asciiTheme="minorHAnsi" w:hAnsiTheme="minorHAnsi"/>
          <w:i/>
          <w:szCs w:val="21"/>
        </w:rPr>
        <w:t xml:space="preserve">Local coordination and strategies </w:t>
      </w:r>
      <w:r w:rsidRPr="009E5F45">
        <w:rPr>
          <w:rFonts w:asciiTheme="minorHAnsi" w:hAnsiTheme="minorHAnsi"/>
          <w:szCs w:val="21"/>
        </w:rPr>
        <w:t xml:space="preserve">that </w:t>
      </w:r>
      <w:r w:rsidR="00CA2AC1">
        <w:rPr>
          <w:rFonts w:asciiTheme="minorHAnsi" w:hAnsiTheme="minorHAnsi"/>
          <w:szCs w:val="21"/>
        </w:rPr>
        <w:t>“</w:t>
      </w:r>
      <w:r w:rsidRPr="009E5F45">
        <w:rPr>
          <w:rFonts w:asciiTheme="minorHAnsi" w:hAnsiTheme="minorHAnsi"/>
          <w:szCs w:val="21"/>
        </w:rPr>
        <w:t xml:space="preserve">discourage </w:t>
      </w:r>
      <w:proofErr w:type="spellStart"/>
      <w:r w:rsidRPr="009E5F45">
        <w:rPr>
          <w:rFonts w:asciiTheme="minorHAnsi" w:hAnsiTheme="minorHAnsi"/>
          <w:szCs w:val="21"/>
        </w:rPr>
        <w:t>organisations</w:t>
      </w:r>
      <w:proofErr w:type="spellEnd"/>
      <w:r w:rsidRPr="009E5F45">
        <w:rPr>
          <w:rFonts w:asciiTheme="minorHAnsi" w:hAnsiTheme="minorHAnsi"/>
          <w:szCs w:val="21"/>
        </w:rPr>
        <w:t xml:space="preserve"> to work in silos</w:t>
      </w:r>
      <w:r w:rsidR="00CA2AC1">
        <w:rPr>
          <w:rFonts w:asciiTheme="minorHAnsi" w:hAnsiTheme="minorHAnsi"/>
          <w:szCs w:val="21"/>
        </w:rPr>
        <w:t>”</w:t>
      </w:r>
      <w:r w:rsidRPr="009E5F45">
        <w:rPr>
          <w:rFonts w:asciiTheme="minorHAnsi" w:hAnsiTheme="minorHAnsi"/>
          <w:szCs w:val="21"/>
        </w:rPr>
        <w:t xml:space="preserve">, reduce duplication in services, and encourage coordinated work to address service gaps and systemic change; </w:t>
      </w:r>
    </w:p>
    <w:p w14:paraId="0F5A9258" w14:textId="77777777" w:rsidR="00F90F66" w:rsidRPr="009E5F45" w:rsidRDefault="00F90F66" w:rsidP="009E5F45">
      <w:pPr>
        <w:pStyle w:val="BodyText"/>
        <w:numPr>
          <w:ilvl w:val="0"/>
          <w:numId w:val="63"/>
        </w:numPr>
        <w:spacing w:after="0" w:line="276" w:lineRule="auto"/>
        <w:ind w:right="360"/>
        <w:rPr>
          <w:rFonts w:asciiTheme="minorHAnsi" w:hAnsiTheme="minorHAnsi"/>
          <w:szCs w:val="21"/>
        </w:rPr>
      </w:pPr>
      <w:r w:rsidRPr="009E5F45">
        <w:rPr>
          <w:rFonts w:asciiTheme="minorHAnsi" w:hAnsiTheme="minorHAnsi"/>
          <w:i/>
          <w:szCs w:val="21"/>
        </w:rPr>
        <w:t>Networking and linkages</w:t>
      </w:r>
      <w:r w:rsidRPr="009E5F45">
        <w:rPr>
          <w:rFonts w:asciiTheme="minorHAnsi" w:hAnsiTheme="minorHAnsi"/>
          <w:szCs w:val="21"/>
        </w:rPr>
        <w:t xml:space="preserve"> across sectors to improve service quality as well as increase the employment and training options available; </w:t>
      </w:r>
    </w:p>
    <w:p w14:paraId="20ACF0BE" w14:textId="414869CE" w:rsidR="00F90F66" w:rsidRPr="009E5F45" w:rsidRDefault="00F90F66" w:rsidP="009E5F45">
      <w:pPr>
        <w:pStyle w:val="BodyText"/>
        <w:numPr>
          <w:ilvl w:val="0"/>
          <w:numId w:val="63"/>
        </w:numPr>
        <w:spacing w:after="0" w:line="276" w:lineRule="auto"/>
        <w:ind w:right="360"/>
        <w:rPr>
          <w:rFonts w:asciiTheme="minorHAnsi" w:hAnsiTheme="minorHAnsi"/>
          <w:szCs w:val="21"/>
        </w:rPr>
      </w:pPr>
      <w:r w:rsidRPr="009E5F45">
        <w:rPr>
          <w:rFonts w:asciiTheme="minorHAnsi" w:hAnsiTheme="minorHAnsi"/>
          <w:i/>
          <w:szCs w:val="21"/>
        </w:rPr>
        <w:t>Ongoing awareness and training</w:t>
      </w:r>
      <w:r w:rsidRPr="009E5F45">
        <w:rPr>
          <w:rFonts w:asciiTheme="minorHAnsi" w:hAnsiTheme="minorHAnsi"/>
          <w:szCs w:val="21"/>
        </w:rPr>
        <w:t xml:space="preserve"> about programs and best practice (ACIL</w:t>
      </w:r>
      <w:r w:rsidR="004056BB" w:rsidRPr="009E5F45">
        <w:rPr>
          <w:rFonts w:asciiTheme="minorHAnsi" w:hAnsiTheme="minorHAnsi"/>
          <w:szCs w:val="21"/>
        </w:rPr>
        <w:t xml:space="preserve"> </w:t>
      </w:r>
      <w:r w:rsidR="004056BB" w:rsidRPr="009E5F45">
        <w:rPr>
          <w:iCs/>
          <w:szCs w:val="21"/>
        </w:rPr>
        <w:t>Allen</w:t>
      </w:r>
      <w:r w:rsidRPr="009E5F45">
        <w:rPr>
          <w:rFonts w:asciiTheme="minorHAnsi" w:hAnsiTheme="minorHAnsi"/>
          <w:szCs w:val="21"/>
        </w:rPr>
        <w:t xml:space="preserve"> Consulting, 2017, p.</w:t>
      </w:r>
      <w:r w:rsidR="004056BB" w:rsidRPr="009E5F45">
        <w:rPr>
          <w:rFonts w:asciiTheme="minorHAnsi" w:hAnsiTheme="minorHAnsi"/>
          <w:szCs w:val="21"/>
        </w:rPr>
        <w:t xml:space="preserve"> </w:t>
      </w:r>
      <w:r w:rsidRPr="009E5F45">
        <w:rPr>
          <w:rFonts w:asciiTheme="minorHAnsi" w:hAnsiTheme="minorHAnsi"/>
          <w:szCs w:val="21"/>
        </w:rPr>
        <w:t xml:space="preserve">21). </w:t>
      </w:r>
    </w:p>
    <w:p w14:paraId="259C7A66" w14:textId="1CECD8DB" w:rsidR="00F90F66" w:rsidRPr="009E5F45" w:rsidRDefault="00F90F66" w:rsidP="009E5F45">
      <w:pPr>
        <w:pStyle w:val="Number1"/>
        <w:numPr>
          <w:ilvl w:val="0"/>
          <w:numId w:val="66"/>
        </w:numPr>
        <w:spacing w:before="120"/>
        <w:ind w:left="426"/>
        <w:rPr>
          <w:lang w:val="en-AU"/>
        </w:rPr>
      </w:pPr>
      <w:r w:rsidRPr="009E5F45">
        <w:rPr>
          <w:lang w:val="en-AU"/>
        </w:rPr>
        <w:t>Ticket to Work</w:t>
      </w:r>
    </w:p>
    <w:p w14:paraId="7F105891" w14:textId="77777777" w:rsidR="00F90F66" w:rsidRPr="009E5F45" w:rsidRDefault="00F90F66" w:rsidP="009E5F45">
      <w:pPr>
        <w:spacing w:line="276" w:lineRule="auto"/>
        <w:rPr>
          <w:szCs w:val="21"/>
        </w:rPr>
      </w:pPr>
      <w:r w:rsidRPr="009E5F45">
        <w:rPr>
          <w:szCs w:val="21"/>
        </w:rPr>
        <w:t>Ticket to Work is a national program of the National Disability Services, Australia, that supports networks of partners in local regions to provide opportunities for young people with disability to build employability while they are at school (mainstream or special schools) (ARTD Consultants, 2019). Partners include schools, Disability Employment Services, TAFE/RTOs, employers, disability services and others, who</w:t>
      </w:r>
    </w:p>
    <w:p w14:paraId="3122B7C0" w14:textId="3C992552" w:rsidR="00F90F66" w:rsidRPr="009E5F45" w:rsidRDefault="00F90F66" w:rsidP="009E5F45">
      <w:pPr>
        <w:spacing w:line="276" w:lineRule="auto"/>
        <w:ind w:left="360"/>
        <w:rPr>
          <w:szCs w:val="21"/>
        </w:rPr>
      </w:pPr>
      <w:r w:rsidRPr="009E5F45">
        <w:rPr>
          <w:szCs w:val="21"/>
        </w:rPr>
        <w:t>work together to provide young people with access to career development, workplace preparation, work experience, vocational skills and Australian School Based Apprenticeships and Traineeships (</w:t>
      </w:r>
      <w:proofErr w:type="spellStart"/>
      <w:r w:rsidRPr="009E5F45">
        <w:rPr>
          <w:szCs w:val="21"/>
        </w:rPr>
        <w:t>ASbATs</w:t>
      </w:r>
      <w:proofErr w:type="spellEnd"/>
      <w:r w:rsidRPr="009E5F45">
        <w:rPr>
          <w:szCs w:val="21"/>
        </w:rPr>
        <w:t>). Essentially each Local Network supports young people with disability to participate in the same ‘typical’ transition to employment activities that their non-disabled peers generally partake in (Wakeford &amp; Waugh, 2014, p. 6)</w:t>
      </w:r>
      <w:r w:rsidR="0011617C">
        <w:rPr>
          <w:szCs w:val="21"/>
        </w:rPr>
        <w:t>.</w:t>
      </w:r>
    </w:p>
    <w:p w14:paraId="1BF00B02" w14:textId="32B2D9C8" w:rsidR="00F90F66" w:rsidRPr="009E5F45" w:rsidRDefault="00F90F66" w:rsidP="009E5F45">
      <w:pPr>
        <w:spacing w:line="276" w:lineRule="auto"/>
        <w:rPr>
          <w:szCs w:val="21"/>
        </w:rPr>
      </w:pPr>
      <w:r w:rsidRPr="009E5F45">
        <w:rPr>
          <w:szCs w:val="21"/>
        </w:rPr>
        <w:t xml:space="preserve">These networks bring together expertise from a range of sectors (education, industry, disability, employment, training, youth). Wakeford </w:t>
      </w:r>
      <w:r w:rsidR="00FB6691" w:rsidRPr="009E5F45">
        <w:rPr>
          <w:szCs w:val="21"/>
        </w:rPr>
        <w:t>and</w:t>
      </w:r>
      <w:r w:rsidRPr="009E5F45">
        <w:rPr>
          <w:szCs w:val="21"/>
        </w:rPr>
        <w:t xml:space="preserve"> Waugh (2014) suggest that the program</w:t>
      </w:r>
      <w:r w:rsidR="00F8051C" w:rsidRPr="009E5F45">
        <w:rPr>
          <w:szCs w:val="21"/>
        </w:rPr>
        <w:t xml:space="preserve"> </w:t>
      </w:r>
    </w:p>
    <w:p w14:paraId="62E2FF6D" w14:textId="5A398A5D" w:rsidR="00F90F66" w:rsidRPr="009E5F45" w:rsidRDefault="00F90F66" w:rsidP="009E5F45">
      <w:pPr>
        <w:tabs>
          <w:tab w:val="left" w:pos="360"/>
        </w:tabs>
        <w:spacing w:line="276" w:lineRule="auto"/>
        <w:ind w:left="360" w:right="360"/>
        <w:rPr>
          <w:szCs w:val="21"/>
        </w:rPr>
      </w:pPr>
      <w:r w:rsidRPr="009E5F45">
        <w:rPr>
          <w:szCs w:val="21"/>
        </w:rPr>
        <w:t>has evidence that partnerships comprised of schools, employers, employment services, disability agencies and youth services do create more pathways opportunities for young people collectively than they do if working individually or discretely (p. 26)</w:t>
      </w:r>
      <w:r w:rsidR="0011617C">
        <w:rPr>
          <w:szCs w:val="21"/>
        </w:rPr>
        <w:t>.</w:t>
      </w:r>
    </w:p>
    <w:p w14:paraId="396DDF2D" w14:textId="4DE9AA12" w:rsidR="00F90F66" w:rsidRPr="009E5F45" w:rsidRDefault="00F90F66" w:rsidP="009E5F45">
      <w:pPr>
        <w:spacing w:line="276" w:lineRule="auto"/>
        <w:rPr>
          <w:szCs w:val="21"/>
        </w:rPr>
      </w:pPr>
      <w:r w:rsidRPr="009E5F45">
        <w:rPr>
          <w:szCs w:val="21"/>
        </w:rPr>
        <w:t>Two evaluations of Ticket to Work have evidenced that it is a successful transition model, with participants being more likely to be employed (64%) than the comparison group (33%), as well as be more likely to complete year 12, undertake post-secondary education, be more socially active and more independent (ARTD Consultants, 2019).</w:t>
      </w:r>
    </w:p>
    <w:p w14:paraId="6D9D1D90" w14:textId="77777777" w:rsidR="00F90F66" w:rsidRPr="00C7608D" w:rsidRDefault="00F90F66" w:rsidP="00CE427B">
      <w:pPr>
        <w:autoSpaceDE w:val="0"/>
        <w:autoSpaceDN w:val="0"/>
        <w:adjustRightInd w:val="0"/>
        <w:spacing w:line="276" w:lineRule="auto"/>
        <w:ind w:left="720" w:hanging="720"/>
        <w:rPr>
          <w:rFonts w:cs="Times-Roman"/>
        </w:rPr>
      </w:pPr>
    </w:p>
    <w:p w14:paraId="743266EB" w14:textId="77777777" w:rsidR="00E35816" w:rsidRDefault="00E35816" w:rsidP="00CE427B">
      <w:pPr>
        <w:spacing w:line="276" w:lineRule="auto"/>
        <w:rPr>
          <w:lang w:val="en-AU"/>
        </w:rPr>
        <w:sectPr w:rsidR="00E35816" w:rsidSect="000374E2">
          <w:pgSz w:w="11907" w:h="16840" w:code="9"/>
          <w:pgMar w:top="1440" w:right="1440" w:bottom="1440" w:left="1440" w:header="431" w:footer="720" w:gutter="0"/>
          <w:cols w:space="720"/>
          <w:docGrid w:linePitch="360"/>
        </w:sectPr>
      </w:pPr>
    </w:p>
    <w:p w14:paraId="7E017CE1" w14:textId="31C99DB8" w:rsidR="00E35816" w:rsidRDefault="00E35816" w:rsidP="00CE427B">
      <w:pPr>
        <w:pStyle w:val="Heading1"/>
        <w:pBdr>
          <w:bottom w:val="single" w:sz="4" w:space="1" w:color="auto"/>
        </w:pBdr>
        <w:spacing w:line="276" w:lineRule="auto"/>
      </w:pPr>
      <w:bookmarkStart w:id="150" w:name="_Toc49462487"/>
      <w:r>
        <w:lastRenderedPageBreak/>
        <w:t xml:space="preserve">evidence </w:t>
      </w:r>
      <w:r w:rsidR="00CE725B">
        <w:t xml:space="preserve">piece </w:t>
      </w:r>
      <w:r>
        <w:t>17:</w:t>
      </w:r>
      <w:bookmarkEnd w:id="150"/>
    </w:p>
    <w:p w14:paraId="1C5C6BEA" w14:textId="1FF74605" w:rsidR="00E35816" w:rsidRDefault="00E35816" w:rsidP="00CE427B">
      <w:pPr>
        <w:pStyle w:val="Heading1"/>
        <w:pBdr>
          <w:bottom w:val="single" w:sz="4" w:space="1" w:color="auto"/>
        </w:pBdr>
        <w:spacing w:line="276" w:lineRule="auto"/>
      </w:pPr>
      <w:bookmarkStart w:id="151" w:name="_Toc49462488"/>
      <w:r>
        <w:t>What are the outcomes of open employment for people with intellectual disability?</w:t>
      </w:r>
      <w:bookmarkEnd w:id="151"/>
    </w:p>
    <w:p w14:paraId="20A4A582" w14:textId="77777777" w:rsidR="00E35816" w:rsidRDefault="00E35816" w:rsidP="009E5F45"/>
    <w:p w14:paraId="676E3A3A" w14:textId="5CA12602" w:rsidR="00E35816" w:rsidRDefault="00E35816" w:rsidP="00CE427B">
      <w:pPr>
        <w:pStyle w:val="Heading2"/>
        <w:spacing w:line="276" w:lineRule="auto"/>
      </w:pPr>
      <w:bookmarkStart w:id="152" w:name="_Toc49417768"/>
      <w:bookmarkStart w:id="153" w:name="_Toc49417972"/>
      <w:r>
        <w:t>What is open employment</w:t>
      </w:r>
      <w:bookmarkEnd w:id="152"/>
      <w:bookmarkEnd w:id="153"/>
      <w:r w:rsidR="009E5F45">
        <w:t>?</w:t>
      </w:r>
    </w:p>
    <w:p w14:paraId="0ABCA049" w14:textId="77777777" w:rsidR="00E35816" w:rsidRPr="00C85109" w:rsidRDefault="00E35816" w:rsidP="00C85109">
      <w:pPr>
        <w:spacing w:line="276" w:lineRule="auto"/>
        <w:rPr>
          <w:rFonts w:asciiTheme="minorHAnsi" w:hAnsiTheme="minorHAnsi" w:cstheme="minorHAnsi"/>
          <w:szCs w:val="21"/>
        </w:rPr>
      </w:pPr>
      <w:r w:rsidRPr="00C85109">
        <w:rPr>
          <w:rFonts w:asciiTheme="minorHAnsi" w:hAnsiTheme="minorHAnsi" w:cstheme="minorHAnsi"/>
          <w:szCs w:val="21"/>
        </w:rPr>
        <w:t>Open employment is a term used in Australia. Autism Spectrum Australia define it as:</w:t>
      </w:r>
    </w:p>
    <w:p w14:paraId="015DC280" w14:textId="6C7DE7E0" w:rsidR="00E35816" w:rsidRPr="00C85109" w:rsidRDefault="00E35816" w:rsidP="00C85109">
      <w:pPr>
        <w:spacing w:line="276" w:lineRule="auto"/>
        <w:ind w:left="360" w:right="360"/>
        <w:rPr>
          <w:rFonts w:asciiTheme="minorHAnsi" w:hAnsiTheme="minorHAnsi" w:cstheme="minorHAnsi"/>
          <w:szCs w:val="21"/>
        </w:rPr>
      </w:pPr>
      <w:r w:rsidRPr="00C85109">
        <w:rPr>
          <w:rFonts w:asciiTheme="minorHAnsi" w:hAnsiTheme="minorHAnsi" w:cstheme="minorHAnsi"/>
          <w:szCs w:val="21"/>
        </w:rPr>
        <w:t>doing a job which can be done by any person. You do the same job as your co-workers and are paid the same wages (</w:t>
      </w:r>
      <w:hyperlink r:id="rId27" w:history="1">
        <w:r w:rsidR="00CF3036" w:rsidRPr="00C85109">
          <w:rPr>
            <w:rStyle w:val="Hyperlink"/>
            <w:rFonts w:asciiTheme="minorHAnsi" w:hAnsiTheme="minorHAnsi" w:cstheme="minorHAnsi"/>
            <w:color w:val="auto"/>
            <w:szCs w:val="21"/>
            <w:u w:val="none"/>
          </w:rPr>
          <w:t>n.d.</w:t>
        </w:r>
      </w:hyperlink>
      <w:r w:rsidRPr="00C85109">
        <w:rPr>
          <w:rFonts w:asciiTheme="minorHAnsi" w:hAnsiTheme="minorHAnsi" w:cstheme="minorHAnsi"/>
          <w:szCs w:val="21"/>
        </w:rPr>
        <w:t>)</w:t>
      </w:r>
      <w:r w:rsidR="0011617C">
        <w:rPr>
          <w:rFonts w:asciiTheme="minorHAnsi" w:hAnsiTheme="minorHAnsi" w:cstheme="minorHAnsi"/>
          <w:szCs w:val="21"/>
        </w:rPr>
        <w:t>.</w:t>
      </w:r>
    </w:p>
    <w:p w14:paraId="04FB61E6" w14:textId="58D7C031" w:rsidR="00E35816" w:rsidRPr="00C85109" w:rsidRDefault="00E35816" w:rsidP="00C85109">
      <w:pPr>
        <w:spacing w:line="276" w:lineRule="auto"/>
        <w:ind w:right="360"/>
        <w:rPr>
          <w:rFonts w:asciiTheme="minorHAnsi" w:hAnsiTheme="minorHAnsi" w:cstheme="minorHAnsi"/>
          <w:szCs w:val="21"/>
        </w:rPr>
      </w:pPr>
      <w:r w:rsidRPr="00C85109">
        <w:rPr>
          <w:rFonts w:asciiTheme="minorHAnsi" w:hAnsiTheme="minorHAnsi" w:cstheme="minorHAnsi"/>
          <w:szCs w:val="21"/>
        </w:rPr>
        <w:t xml:space="preserve">The Australian </w:t>
      </w:r>
      <w:r w:rsidR="0008595F" w:rsidRPr="00C85109">
        <w:rPr>
          <w:rFonts w:asciiTheme="minorHAnsi" w:hAnsiTheme="minorHAnsi" w:cstheme="minorHAnsi"/>
          <w:szCs w:val="21"/>
        </w:rPr>
        <w:t>G</w:t>
      </w:r>
      <w:r w:rsidRPr="00C85109">
        <w:rPr>
          <w:rFonts w:asciiTheme="minorHAnsi" w:hAnsiTheme="minorHAnsi" w:cstheme="minorHAnsi"/>
          <w:szCs w:val="21"/>
        </w:rPr>
        <w:t>overnment defines it as follows:</w:t>
      </w:r>
    </w:p>
    <w:p w14:paraId="3AE76D47" w14:textId="35357144" w:rsidR="00E35816" w:rsidRPr="00C85109" w:rsidRDefault="00E35816" w:rsidP="00C85109">
      <w:pPr>
        <w:spacing w:line="276" w:lineRule="auto"/>
        <w:ind w:left="360" w:right="360"/>
        <w:rPr>
          <w:rFonts w:asciiTheme="minorHAnsi" w:hAnsiTheme="minorHAnsi" w:cstheme="minorHAnsi"/>
          <w:szCs w:val="21"/>
        </w:rPr>
      </w:pPr>
      <w:r w:rsidRPr="00C85109">
        <w:rPr>
          <w:rFonts w:asciiTheme="minorHAnsi" w:hAnsiTheme="minorHAnsi" w:cstheme="minorHAnsi"/>
          <w:szCs w:val="21"/>
        </w:rPr>
        <w:t xml:space="preserve">‘Open’ employment refers to employment where the jobs are open to all people, with or without disability. People with disability who wish to receive assistance to find employment in the open </w:t>
      </w:r>
      <w:proofErr w:type="spellStart"/>
      <w:r w:rsidRPr="00C85109">
        <w:rPr>
          <w:rFonts w:asciiTheme="minorHAnsi" w:hAnsiTheme="minorHAnsi" w:cstheme="minorHAnsi"/>
          <w:szCs w:val="21"/>
        </w:rPr>
        <w:t>labour</w:t>
      </w:r>
      <w:proofErr w:type="spellEnd"/>
      <w:r w:rsidRPr="00C85109">
        <w:rPr>
          <w:rFonts w:asciiTheme="minorHAnsi" w:hAnsiTheme="minorHAnsi" w:cstheme="minorHAnsi"/>
          <w:szCs w:val="21"/>
        </w:rPr>
        <w:t xml:space="preserve"> market can register with a DES provider (</w:t>
      </w:r>
      <w:r w:rsidR="00942173" w:rsidRPr="00C85109">
        <w:rPr>
          <w:rFonts w:asciiTheme="minorHAnsi" w:hAnsiTheme="minorHAnsi" w:cstheme="minorHAnsi"/>
          <w:szCs w:val="21"/>
        </w:rPr>
        <w:t>Department of Social Services</w:t>
      </w:r>
      <w:r w:rsidRPr="00C85109">
        <w:rPr>
          <w:rFonts w:asciiTheme="minorHAnsi" w:hAnsiTheme="minorHAnsi" w:cstheme="minorHAnsi"/>
          <w:szCs w:val="21"/>
        </w:rPr>
        <w:t>, 2017, p.</w:t>
      </w:r>
      <w:r w:rsidR="00AC1588" w:rsidRPr="00C85109">
        <w:rPr>
          <w:rFonts w:asciiTheme="minorHAnsi" w:hAnsiTheme="minorHAnsi" w:cstheme="minorHAnsi"/>
          <w:szCs w:val="21"/>
        </w:rPr>
        <w:t xml:space="preserve"> </w:t>
      </w:r>
      <w:r w:rsidRPr="00C85109">
        <w:rPr>
          <w:rFonts w:asciiTheme="minorHAnsi" w:hAnsiTheme="minorHAnsi" w:cstheme="minorHAnsi"/>
          <w:szCs w:val="21"/>
        </w:rPr>
        <w:t>8)</w:t>
      </w:r>
      <w:r w:rsidR="0011617C">
        <w:rPr>
          <w:rFonts w:asciiTheme="minorHAnsi" w:hAnsiTheme="minorHAnsi" w:cstheme="minorHAnsi"/>
          <w:szCs w:val="21"/>
        </w:rPr>
        <w:t>.</w:t>
      </w:r>
    </w:p>
    <w:p w14:paraId="5B580F05" w14:textId="7AB44259" w:rsidR="00E35816" w:rsidRPr="00C85109" w:rsidRDefault="00E35816" w:rsidP="00C85109">
      <w:pPr>
        <w:spacing w:line="276" w:lineRule="auto"/>
        <w:rPr>
          <w:rFonts w:asciiTheme="minorHAnsi" w:hAnsiTheme="minorHAnsi" w:cstheme="minorHAnsi"/>
          <w:szCs w:val="21"/>
        </w:rPr>
      </w:pPr>
      <w:r w:rsidRPr="00C85109">
        <w:rPr>
          <w:rFonts w:asciiTheme="minorHAnsi" w:hAnsiTheme="minorHAnsi" w:cstheme="minorHAnsi"/>
          <w:szCs w:val="21"/>
        </w:rPr>
        <w:t xml:space="preserve">Other terms are used for this in different countries and contexts including ‘competitive employment’ or ‘competitive integrated employment’ (CIE). In CIE, </w:t>
      </w:r>
      <w:r w:rsidR="007D3D07" w:rsidRPr="00C85109">
        <w:rPr>
          <w:rFonts w:asciiTheme="minorHAnsi" w:hAnsiTheme="minorHAnsi" w:cstheme="minorHAnsi"/>
          <w:szCs w:val="21"/>
        </w:rPr>
        <w:t>“</w:t>
      </w:r>
      <w:r w:rsidRPr="00C85109">
        <w:rPr>
          <w:rFonts w:asciiTheme="minorHAnsi" w:hAnsiTheme="minorHAnsi" w:cstheme="minorHAnsi"/>
          <w:szCs w:val="21"/>
        </w:rPr>
        <w:t>employers compensate their employees with ID at or above minimum wage and provide work opportunities within a body of co-workers who mostly consist of persons without a disability</w:t>
      </w:r>
      <w:r w:rsidR="007D3D07" w:rsidRPr="00C85109">
        <w:rPr>
          <w:rFonts w:asciiTheme="minorHAnsi" w:hAnsiTheme="minorHAnsi" w:cstheme="minorHAnsi"/>
          <w:szCs w:val="21"/>
        </w:rPr>
        <w:t>”</w:t>
      </w:r>
      <w:r w:rsidRPr="00C85109">
        <w:rPr>
          <w:rFonts w:asciiTheme="minorHAnsi" w:hAnsiTheme="minorHAnsi" w:cstheme="minorHAnsi"/>
          <w:szCs w:val="21"/>
        </w:rPr>
        <w:t xml:space="preserve"> (</w:t>
      </w:r>
      <w:proofErr w:type="spellStart"/>
      <w:r w:rsidRPr="00C85109">
        <w:rPr>
          <w:rFonts w:asciiTheme="minorHAnsi" w:hAnsiTheme="minorHAnsi" w:cstheme="minorHAnsi"/>
          <w:szCs w:val="21"/>
        </w:rPr>
        <w:t>Blick</w:t>
      </w:r>
      <w:proofErr w:type="spellEnd"/>
      <w:r w:rsidRPr="00C85109">
        <w:rPr>
          <w:rFonts w:asciiTheme="minorHAnsi" w:hAnsiTheme="minorHAnsi" w:cstheme="minorHAnsi"/>
          <w:szCs w:val="21"/>
        </w:rPr>
        <w:t xml:space="preserve"> et al., 2016, p.</w:t>
      </w:r>
      <w:r w:rsidR="00942173" w:rsidRPr="00C85109">
        <w:rPr>
          <w:rFonts w:asciiTheme="minorHAnsi" w:hAnsiTheme="minorHAnsi" w:cstheme="minorHAnsi"/>
          <w:szCs w:val="21"/>
        </w:rPr>
        <w:t xml:space="preserve"> </w:t>
      </w:r>
      <w:r w:rsidRPr="00C85109">
        <w:rPr>
          <w:rFonts w:asciiTheme="minorHAnsi" w:hAnsiTheme="minorHAnsi" w:cstheme="minorHAnsi"/>
          <w:szCs w:val="21"/>
        </w:rPr>
        <w:t>359).</w:t>
      </w:r>
    </w:p>
    <w:p w14:paraId="5C4525AE" w14:textId="77777777" w:rsidR="00E35816" w:rsidRPr="0090440C" w:rsidRDefault="00E35816" w:rsidP="00CE427B">
      <w:pPr>
        <w:pStyle w:val="Heading2"/>
        <w:spacing w:line="276" w:lineRule="auto"/>
      </w:pPr>
      <w:bookmarkStart w:id="154" w:name="_Toc49417769"/>
      <w:bookmarkStart w:id="155" w:name="_Toc49417973"/>
      <w:r>
        <w:t>What are the benefits of having a job?</w:t>
      </w:r>
      <w:bookmarkEnd w:id="154"/>
      <w:bookmarkEnd w:id="155"/>
    </w:p>
    <w:p w14:paraId="63C36F82" w14:textId="77777777" w:rsidR="00E35816" w:rsidRPr="00C85109" w:rsidRDefault="00E35816" w:rsidP="00C85109">
      <w:pPr>
        <w:spacing w:line="276" w:lineRule="auto"/>
        <w:rPr>
          <w:rFonts w:asciiTheme="minorHAnsi" w:hAnsiTheme="minorHAnsi" w:cstheme="minorHAnsi"/>
          <w:szCs w:val="21"/>
        </w:rPr>
      </w:pPr>
      <w:r w:rsidRPr="00C85109">
        <w:rPr>
          <w:rFonts w:asciiTheme="minorHAnsi" w:hAnsiTheme="minorHAnsi" w:cstheme="minorHAnsi"/>
          <w:szCs w:val="21"/>
        </w:rPr>
        <w:t>Many studies have provided evidence on life outcomes related to open employment experienced by people with intellectual disability. Outcomes of open employment that are widely evidenced in the research literature are:</w:t>
      </w:r>
    </w:p>
    <w:p w14:paraId="5B99AC43" w14:textId="77777777" w:rsidR="00E35816" w:rsidRPr="00C85109" w:rsidRDefault="00E35816" w:rsidP="00C85109">
      <w:pPr>
        <w:pStyle w:val="ListParagraph"/>
        <w:numPr>
          <w:ilvl w:val="0"/>
          <w:numId w:val="67"/>
        </w:numPr>
        <w:spacing w:line="276" w:lineRule="auto"/>
        <w:rPr>
          <w:rFonts w:asciiTheme="minorHAnsi" w:hAnsiTheme="minorHAnsi" w:cstheme="minorHAnsi"/>
          <w:szCs w:val="21"/>
        </w:rPr>
      </w:pPr>
      <w:r w:rsidRPr="00C85109">
        <w:rPr>
          <w:rFonts w:asciiTheme="minorHAnsi" w:hAnsiTheme="minorHAnsi" w:cstheme="minorHAnsi"/>
          <w:szCs w:val="21"/>
        </w:rPr>
        <w:t>economic benefits (increased income and better standard of living)</w:t>
      </w:r>
    </w:p>
    <w:p w14:paraId="31725E9B" w14:textId="77777777" w:rsidR="00E35816" w:rsidRPr="00C85109" w:rsidRDefault="00E35816" w:rsidP="00C85109">
      <w:pPr>
        <w:pStyle w:val="ListParagraph"/>
        <w:numPr>
          <w:ilvl w:val="0"/>
          <w:numId w:val="67"/>
        </w:numPr>
        <w:spacing w:line="276" w:lineRule="auto"/>
        <w:rPr>
          <w:rFonts w:asciiTheme="minorHAnsi" w:hAnsiTheme="minorHAnsi" w:cstheme="minorHAnsi"/>
          <w:szCs w:val="21"/>
        </w:rPr>
      </w:pPr>
      <w:r w:rsidRPr="00C85109">
        <w:rPr>
          <w:rFonts w:asciiTheme="minorHAnsi" w:hAnsiTheme="minorHAnsi" w:cstheme="minorHAnsi"/>
          <w:szCs w:val="21"/>
        </w:rPr>
        <w:t xml:space="preserve">increased quality of life or wellbeing </w:t>
      </w:r>
    </w:p>
    <w:p w14:paraId="0BA4391A" w14:textId="77777777" w:rsidR="00E35816" w:rsidRPr="00C85109" w:rsidRDefault="00E35816" w:rsidP="00C85109">
      <w:pPr>
        <w:pStyle w:val="ListParagraph"/>
        <w:numPr>
          <w:ilvl w:val="0"/>
          <w:numId w:val="67"/>
        </w:numPr>
        <w:spacing w:line="276" w:lineRule="auto"/>
        <w:rPr>
          <w:rFonts w:asciiTheme="minorHAnsi" w:hAnsiTheme="minorHAnsi" w:cstheme="minorHAnsi"/>
          <w:szCs w:val="21"/>
        </w:rPr>
      </w:pPr>
      <w:r w:rsidRPr="00C85109">
        <w:rPr>
          <w:rFonts w:asciiTheme="minorHAnsi" w:hAnsiTheme="minorHAnsi" w:cstheme="minorHAnsi"/>
          <w:szCs w:val="21"/>
        </w:rPr>
        <w:t xml:space="preserve">improved mental health </w:t>
      </w:r>
    </w:p>
    <w:p w14:paraId="362F574A" w14:textId="77777777" w:rsidR="00E35816" w:rsidRPr="00C85109" w:rsidRDefault="00E35816" w:rsidP="00C85109">
      <w:pPr>
        <w:pStyle w:val="ListParagraph"/>
        <w:numPr>
          <w:ilvl w:val="0"/>
          <w:numId w:val="67"/>
        </w:numPr>
        <w:spacing w:line="276" w:lineRule="auto"/>
        <w:rPr>
          <w:rFonts w:asciiTheme="minorHAnsi" w:hAnsiTheme="minorHAnsi" w:cstheme="minorHAnsi"/>
          <w:szCs w:val="21"/>
        </w:rPr>
      </w:pPr>
      <w:r w:rsidRPr="00C85109">
        <w:rPr>
          <w:rFonts w:asciiTheme="minorHAnsi" w:hAnsiTheme="minorHAnsi" w:cstheme="minorHAnsi"/>
          <w:szCs w:val="21"/>
        </w:rPr>
        <w:t>improved physical health</w:t>
      </w:r>
    </w:p>
    <w:p w14:paraId="5134783D" w14:textId="77777777" w:rsidR="00E35816" w:rsidRPr="00C85109" w:rsidRDefault="00E35816" w:rsidP="00C85109">
      <w:pPr>
        <w:pStyle w:val="ListParagraph"/>
        <w:numPr>
          <w:ilvl w:val="0"/>
          <w:numId w:val="67"/>
        </w:numPr>
        <w:spacing w:line="276" w:lineRule="auto"/>
        <w:rPr>
          <w:rFonts w:asciiTheme="minorHAnsi" w:hAnsiTheme="minorHAnsi" w:cstheme="minorHAnsi"/>
          <w:szCs w:val="21"/>
        </w:rPr>
      </w:pPr>
      <w:r w:rsidRPr="00C85109">
        <w:rPr>
          <w:rFonts w:asciiTheme="minorHAnsi" w:hAnsiTheme="minorHAnsi" w:cstheme="minorHAnsi"/>
          <w:szCs w:val="21"/>
        </w:rPr>
        <w:t xml:space="preserve">reduced risk of poverty </w:t>
      </w:r>
    </w:p>
    <w:p w14:paraId="64F5AB80" w14:textId="77777777" w:rsidR="00E35816" w:rsidRPr="00C85109" w:rsidRDefault="00E35816" w:rsidP="00C85109">
      <w:pPr>
        <w:pStyle w:val="ListParagraph"/>
        <w:numPr>
          <w:ilvl w:val="0"/>
          <w:numId w:val="67"/>
        </w:numPr>
        <w:spacing w:line="276" w:lineRule="auto"/>
        <w:rPr>
          <w:rFonts w:asciiTheme="minorHAnsi" w:hAnsiTheme="minorHAnsi" w:cstheme="minorHAnsi"/>
          <w:szCs w:val="21"/>
        </w:rPr>
      </w:pPr>
      <w:r w:rsidRPr="00C85109">
        <w:rPr>
          <w:rFonts w:asciiTheme="minorHAnsi" w:hAnsiTheme="minorHAnsi" w:cstheme="minorHAnsi"/>
          <w:szCs w:val="21"/>
        </w:rPr>
        <w:t>increased social participation, including opportunities for friendships</w:t>
      </w:r>
    </w:p>
    <w:p w14:paraId="3FC14A8E" w14:textId="77777777" w:rsidR="00E35816" w:rsidRPr="00C85109" w:rsidRDefault="00E35816" w:rsidP="00C85109">
      <w:pPr>
        <w:pStyle w:val="ListParagraph"/>
        <w:numPr>
          <w:ilvl w:val="0"/>
          <w:numId w:val="67"/>
        </w:numPr>
        <w:spacing w:line="276" w:lineRule="auto"/>
        <w:rPr>
          <w:rFonts w:asciiTheme="minorHAnsi" w:hAnsiTheme="minorHAnsi" w:cstheme="minorHAnsi"/>
          <w:szCs w:val="21"/>
        </w:rPr>
      </w:pPr>
      <w:r w:rsidRPr="00C85109">
        <w:rPr>
          <w:rFonts w:asciiTheme="minorHAnsi" w:hAnsiTheme="minorHAnsi" w:cstheme="minorHAnsi"/>
          <w:szCs w:val="21"/>
        </w:rPr>
        <w:t>increased social support</w:t>
      </w:r>
    </w:p>
    <w:p w14:paraId="7556097E" w14:textId="77777777" w:rsidR="00E35816" w:rsidRPr="00C85109" w:rsidRDefault="00E35816" w:rsidP="00C85109">
      <w:pPr>
        <w:pStyle w:val="ListParagraph"/>
        <w:numPr>
          <w:ilvl w:val="0"/>
          <w:numId w:val="67"/>
        </w:numPr>
        <w:spacing w:line="276" w:lineRule="auto"/>
        <w:rPr>
          <w:rFonts w:asciiTheme="minorHAnsi" w:hAnsiTheme="minorHAnsi" w:cstheme="minorHAnsi"/>
          <w:szCs w:val="21"/>
        </w:rPr>
      </w:pPr>
      <w:r w:rsidRPr="00C85109">
        <w:rPr>
          <w:rFonts w:asciiTheme="minorHAnsi" w:hAnsiTheme="minorHAnsi" w:cstheme="minorHAnsi"/>
          <w:szCs w:val="21"/>
        </w:rPr>
        <w:t>increased skill development</w:t>
      </w:r>
    </w:p>
    <w:p w14:paraId="00B713CC" w14:textId="77777777" w:rsidR="00E35816" w:rsidRPr="00C85109" w:rsidRDefault="00E35816" w:rsidP="00C85109">
      <w:pPr>
        <w:pStyle w:val="ListParagraph"/>
        <w:numPr>
          <w:ilvl w:val="0"/>
          <w:numId w:val="67"/>
        </w:numPr>
        <w:spacing w:line="276" w:lineRule="auto"/>
        <w:rPr>
          <w:rFonts w:asciiTheme="minorHAnsi" w:hAnsiTheme="minorHAnsi" w:cstheme="minorHAnsi"/>
          <w:szCs w:val="21"/>
        </w:rPr>
      </w:pPr>
      <w:r w:rsidRPr="00C85109">
        <w:rPr>
          <w:rFonts w:asciiTheme="minorHAnsi" w:hAnsiTheme="minorHAnsi" w:cstheme="minorHAnsi"/>
          <w:szCs w:val="21"/>
        </w:rPr>
        <w:t>increased sense of social worth, feeling valued and increased social status</w:t>
      </w:r>
    </w:p>
    <w:p w14:paraId="0A7F37AE" w14:textId="5F11CEDE" w:rsidR="00E35816" w:rsidRPr="00C85109" w:rsidRDefault="00E35816" w:rsidP="00C85109">
      <w:pPr>
        <w:pStyle w:val="ListParagraph"/>
        <w:numPr>
          <w:ilvl w:val="0"/>
          <w:numId w:val="67"/>
        </w:numPr>
        <w:spacing w:line="276" w:lineRule="auto"/>
        <w:rPr>
          <w:rFonts w:asciiTheme="minorHAnsi" w:hAnsiTheme="minorHAnsi" w:cstheme="minorHAnsi"/>
          <w:szCs w:val="21"/>
        </w:rPr>
      </w:pPr>
      <w:r w:rsidRPr="00C85109">
        <w:rPr>
          <w:rFonts w:asciiTheme="minorHAnsi" w:hAnsiTheme="minorHAnsi" w:cstheme="minorHAnsi"/>
          <w:szCs w:val="21"/>
        </w:rPr>
        <w:t xml:space="preserve">provision of purpose, structure and meaning to daily living (Holwerda et al., 2013; Honey et al., 2014; </w:t>
      </w:r>
      <w:proofErr w:type="spellStart"/>
      <w:r w:rsidRPr="00C85109">
        <w:rPr>
          <w:rFonts w:asciiTheme="minorHAnsi" w:hAnsiTheme="minorHAnsi" w:cstheme="minorHAnsi"/>
          <w:szCs w:val="21"/>
        </w:rPr>
        <w:t>Blick</w:t>
      </w:r>
      <w:proofErr w:type="spellEnd"/>
      <w:r w:rsidRPr="00C85109">
        <w:rPr>
          <w:rFonts w:asciiTheme="minorHAnsi" w:hAnsiTheme="minorHAnsi" w:cstheme="minorHAnsi"/>
          <w:szCs w:val="21"/>
        </w:rPr>
        <w:t xml:space="preserve"> et al., 2016; </w:t>
      </w:r>
      <w:proofErr w:type="spellStart"/>
      <w:r w:rsidRPr="00C85109">
        <w:rPr>
          <w:rFonts w:asciiTheme="minorHAnsi" w:hAnsiTheme="minorHAnsi" w:cstheme="minorHAnsi"/>
          <w:szCs w:val="21"/>
        </w:rPr>
        <w:t>Simplican</w:t>
      </w:r>
      <w:proofErr w:type="spellEnd"/>
      <w:r w:rsidRPr="00C85109">
        <w:rPr>
          <w:rFonts w:asciiTheme="minorHAnsi" w:hAnsiTheme="minorHAnsi" w:cstheme="minorHAnsi"/>
          <w:szCs w:val="21"/>
        </w:rPr>
        <w:t xml:space="preserve"> et al., 2014, Emerson et al., 2018; Carter et al.</w:t>
      </w:r>
      <w:r w:rsidR="001D378D" w:rsidRPr="00C85109">
        <w:rPr>
          <w:rFonts w:asciiTheme="minorHAnsi" w:hAnsiTheme="minorHAnsi" w:cstheme="minorHAnsi"/>
          <w:szCs w:val="21"/>
        </w:rPr>
        <w:t>,</w:t>
      </w:r>
      <w:r w:rsidRPr="00C85109">
        <w:rPr>
          <w:rFonts w:asciiTheme="minorHAnsi" w:hAnsiTheme="minorHAnsi" w:cstheme="minorHAnsi"/>
          <w:szCs w:val="21"/>
        </w:rPr>
        <w:t xml:space="preserve"> 2017; Meltzer et al.</w:t>
      </w:r>
      <w:r w:rsidR="001D378D" w:rsidRPr="00C85109">
        <w:rPr>
          <w:rFonts w:asciiTheme="minorHAnsi" w:hAnsiTheme="minorHAnsi" w:cstheme="minorHAnsi"/>
          <w:szCs w:val="21"/>
        </w:rPr>
        <w:t>,</w:t>
      </w:r>
      <w:r w:rsidRPr="00C85109">
        <w:rPr>
          <w:rFonts w:asciiTheme="minorHAnsi" w:hAnsiTheme="minorHAnsi" w:cstheme="minorHAnsi"/>
          <w:szCs w:val="21"/>
        </w:rPr>
        <w:t xml:space="preserve"> 2016; </w:t>
      </w:r>
      <w:proofErr w:type="spellStart"/>
      <w:r w:rsidRPr="00C85109">
        <w:rPr>
          <w:rFonts w:asciiTheme="minorHAnsi" w:hAnsiTheme="minorHAnsi" w:cstheme="minorHAnsi"/>
          <w:szCs w:val="21"/>
        </w:rPr>
        <w:t>Riesen</w:t>
      </w:r>
      <w:proofErr w:type="spellEnd"/>
      <w:r w:rsidRPr="00C85109">
        <w:rPr>
          <w:rFonts w:asciiTheme="minorHAnsi" w:hAnsiTheme="minorHAnsi" w:cstheme="minorHAnsi"/>
          <w:szCs w:val="21"/>
        </w:rPr>
        <w:t xml:space="preserve"> et al.</w:t>
      </w:r>
      <w:r w:rsidR="001D378D" w:rsidRPr="00C85109">
        <w:rPr>
          <w:rFonts w:asciiTheme="minorHAnsi" w:hAnsiTheme="minorHAnsi" w:cstheme="minorHAnsi"/>
          <w:szCs w:val="21"/>
        </w:rPr>
        <w:t>,</w:t>
      </w:r>
      <w:r w:rsidRPr="00C85109">
        <w:rPr>
          <w:rFonts w:asciiTheme="minorHAnsi" w:hAnsiTheme="minorHAnsi" w:cstheme="minorHAnsi"/>
          <w:szCs w:val="21"/>
        </w:rPr>
        <w:t xml:space="preserve"> 2015; </w:t>
      </w:r>
      <w:proofErr w:type="spellStart"/>
      <w:r w:rsidRPr="00C85109">
        <w:rPr>
          <w:rFonts w:asciiTheme="minorHAnsi" w:hAnsiTheme="minorHAnsi" w:cstheme="minorHAnsi"/>
          <w:szCs w:val="21"/>
        </w:rPr>
        <w:t>Nevala</w:t>
      </w:r>
      <w:proofErr w:type="spellEnd"/>
      <w:r w:rsidRPr="00C85109">
        <w:rPr>
          <w:rFonts w:asciiTheme="minorHAnsi" w:hAnsiTheme="minorHAnsi" w:cstheme="minorHAnsi"/>
          <w:szCs w:val="21"/>
        </w:rPr>
        <w:t xml:space="preserve"> et al.</w:t>
      </w:r>
      <w:r w:rsidR="001D378D" w:rsidRPr="00C85109">
        <w:rPr>
          <w:rFonts w:asciiTheme="minorHAnsi" w:hAnsiTheme="minorHAnsi" w:cstheme="minorHAnsi"/>
          <w:szCs w:val="21"/>
        </w:rPr>
        <w:t>,</w:t>
      </w:r>
      <w:r w:rsidRPr="00C85109">
        <w:rPr>
          <w:rFonts w:asciiTheme="minorHAnsi" w:hAnsiTheme="minorHAnsi" w:cstheme="minorHAnsi"/>
          <w:szCs w:val="21"/>
        </w:rPr>
        <w:t xml:space="preserve"> 2019).</w:t>
      </w:r>
    </w:p>
    <w:p w14:paraId="4D87B506" w14:textId="77777777" w:rsidR="00E35816" w:rsidRPr="00C85109" w:rsidRDefault="00E35816" w:rsidP="00C85109">
      <w:pPr>
        <w:spacing w:line="276" w:lineRule="auto"/>
        <w:ind w:left="45" w:right="720"/>
        <w:rPr>
          <w:rFonts w:asciiTheme="minorHAnsi" w:hAnsiTheme="minorHAnsi" w:cstheme="minorHAnsi"/>
          <w:szCs w:val="21"/>
        </w:rPr>
      </w:pPr>
      <w:r w:rsidRPr="00C85109">
        <w:rPr>
          <w:rFonts w:asciiTheme="minorHAnsi" w:hAnsiTheme="minorHAnsi" w:cstheme="minorHAnsi"/>
          <w:szCs w:val="21"/>
        </w:rPr>
        <w:t>Speaking about young people with intellectual disability in the USA, Carter et al. (2017) note:</w:t>
      </w:r>
    </w:p>
    <w:p w14:paraId="6A388FF7" w14:textId="14D217A4" w:rsidR="00E35816" w:rsidRPr="00C85109" w:rsidRDefault="00E35816" w:rsidP="00C85109">
      <w:pPr>
        <w:spacing w:line="276" w:lineRule="auto"/>
        <w:ind w:left="450" w:right="720"/>
        <w:rPr>
          <w:rFonts w:asciiTheme="minorHAnsi" w:hAnsiTheme="minorHAnsi" w:cstheme="minorHAnsi"/>
          <w:szCs w:val="21"/>
        </w:rPr>
      </w:pPr>
      <w:r w:rsidRPr="00C85109">
        <w:rPr>
          <w:rFonts w:asciiTheme="minorHAnsi" w:hAnsiTheme="minorHAnsi" w:cstheme="minorHAnsi"/>
          <w:szCs w:val="21"/>
        </w:rPr>
        <w:t>… a good job contributes to a sense of accomplishment, self-worth, and independence; it gives young people a place to share their strengths and gifts in valued ways; it fosters new friendships and access to social supports; and it provides resources and connections that increase community involvement and contributions (p.</w:t>
      </w:r>
      <w:r w:rsidR="001D378D" w:rsidRPr="00C85109">
        <w:rPr>
          <w:rFonts w:asciiTheme="minorHAnsi" w:hAnsiTheme="minorHAnsi" w:cstheme="minorHAnsi"/>
          <w:szCs w:val="21"/>
        </w:rPr>
        <w:t xml:space="preserve"> </w:t>
      </w:r>
      <w:r w:rsidRPr="00C85109">
        <w:rPr>
          <w:rFonts w:asciiTheme="minorHAnsi" w:hAnsiTheme="minorHAnsi" w:cstheme="minorHAnsi"/>
          <w:szCs w:val="21"/>
        </w:rPr>
        <w:t>365)</w:t>
      </w:r>
      <w:r w:rsidR="0011617C">
        <w:rPr>
          <w:rFonts w:asciiTheme="minorHAnsi" w:hAnsiTheme="minorHAnsi" w:cstheme="minorHAnsi"/>
          <w:szCs w:val="21"/>
        </w:rPr>
        <w:t>.</w:t>
      </w:r>
    </w:p>
    <w:p w14:paraId="16F7E4BA" w14:textId="77777777" w:rsidR="00E35816" w:rsidRPr="00C85109" w:rsidRDefault="00E35816" w:rsidP="00C85109">
      <w:pPr>
        <w:spacing w:line="276" w:lineRule="auto"/>
        <w:rPr>
          <w:rFonts w:asciiTheme="minorHAnsi" w:hAnsiTheme="minorHAnsi" w:cstheme="minorHAnsi"/>
          <w:szCs w:val="21"/>
        </w:rPr>
      </w:pPr>
      <w:r w:rsidRPr="00C85109">
        <w:rPr>
          <w:rFonts w:asciiTheme="minorHAnsi" w:hAnsiTheme="minorHAnsi" w:cstheme="minorHAnsi"/>
          <w:szCs w:val="21"/>
        </w:rPr>
        <w:lastRenderedPageBreak/>
        <w:t>In Australia, researchers reviewing the evidence on outcomes of employment for people with disability generally, note:</w:t>
      </w:r>
    </w:p>
    <w:p w14:paraId="3F0E7FEC" w14:textId="5E46FEF7" w:rsidR="00E35816" w:rsidRPr="00C85109" w:rsidRDefault="00E35816" w:rsidP="00C85109">
      <w:pPr>
        <w:spacing w:line="276" w:lineRule="auto"/>
        <w:ind w:left="284" w:right="720"/>
        <w:rPr>
          <w:rFonts w:asciiTheme="minorHAnsi" w:hAnsiTheme="minorHAnsi" w:cstheme="minorHAnsi"/>
          <w:szCs w:val="21"/>
        </w:rPr>
      </w:pPr>
      <w:r w:rsidRPr="00C85109">
        <w:rPr>
          <w:rFonts w:asciiTheme="minorHAnsi" w:hAnsiTheme="minorHAnsi" w:cstheme="minorHAnsi"/>
          <w:szCs w:val="21"/>
        </w:rPr>
        <w:t>There is abundant evidence on the social and economic benefits of work for people with disability and their families. People who work contribute to society, gain financial independence, enjoy a better standard of living, experience improved physical and mental wellbeing, have expanded social networks and have opportunities to develop their career, demonstrate and expand their skills and knowledge (ARTD Consultants, 2016, p.</w:t>
      </w:r>
      <w:r w:rsidR="001D378D" w:rsidRPr="00C85109">
        <w:rPr>
          <w:rFonts w:asciiTheme="minorHAnsi" w:hAnsiTheme="minorHAnsi" w:cstheme="minorHAnsi"/>
          <w:szCs w:val="21"/>
        </w:rPr>
        <w:t xml:space="preserve"> </w:t>
      </w:r>
      <w:r w:rsidRPr="00C85109">
        <w:rPr>
          <w:rFonts w:asciiTheme="minorHAnsi" w:hAnsiTheme="minorHAnsi" w:cstheme="minorHAnsi"/>
          <w:szCs w:val="21"/>
        </w:rPr>
        <w:t>2)</w:t>
      </w:r>
      <w:r w:rsidR="0011617C">
        <w:rPr>
          <w:rFonts w:asciiTheme="minorHAnsi" w:hAnsiTheme="minorHAnsi" w:cstheme="minorHAnsi"/>
          <w:szCs w:val="21"/>
        </w:rPr>
        <w:t>.</w:t>
      </w:r>
    </w:p>
    <w:p w14:paraId="2A4E5E19" w14:textId="77777777" w:rsidR="00E35816" w:rsidRPr="00C85109" w:rsidRDefault="00E35816" w:rsidP="00C85109">
      <w:pPr>
        <w:snapToGrid w:val="0"/>
        <w:spacing w:line="276" w:lineRule="auto"/>
        <w:rPr>
          <w:rFonts w:asciiTheme="minorHAnsi" w:hAnsiTheme="minorHAnsi" w:cstheme="minorHAnsi"/>
          <w:color w:val="000000"/>
          <w:szCs w:val="21"/>
        </w:rPr>
      </w:pPr>
      <w:r w:rsidRPr="00C85109">
        <w:rPr>
          <w:rFonts w:asciiTheme="minorHAnsi" w:hAnsiTheme="minorHAnsi" w:cstheme="minorHAnsi"/>
          <w:color w:val="000000"/>
          <w:szCs w:val="21"/>
        </w:rPr>
        <w:t xml:space="preserve">People with intellectual disability in Australia have also been asked to report on the outcomes they get from employment, and report </w:t>
      </w:r>
      <w:proofErr w:type="gramStart"/>
      <w:r w:rsidRPr="00C85109">
        <w:rPr>
          <w:rFonts w:asciiTheme="minorHAnsi" w:hAnsiTheme="minorHAnsi" w:cstheme="minorHAnsi"/>
          <w:color w:val="000000"/>
          <w:szCs w:val="21"/>
        </w:rPr>
        <w:t>all of</w:t>
      </w:r>
      <w:proofErr w:type="gramEnd"/>
      <w:r w:rsidRPr="00C85109">
        <w:rPr>
          <w:rFonts w:asciiTheme="minorHAnsi" w:hAnsiTheme="minorHAnsi" w:cstheme="minorHAnsi"/>
          <w:color w:val="000000"/>
          <w:szCs w:val="21"/>
        </w:rPr>
        <w:t xml:space="preserve"> the outcomes listed above, including:</w:t>
      </w:r>
    </w:p>
    <w:p w14:paraId="1B7CA500" w14:textId="64B02B96" w:rsidR="00E35816" w:rsidRPr="00C85109" w:rsidRDefault="00E35816" w:rsidP="00C85109">
      <w:pPr>
        <w:snapToGrid w:val="0"/>
        <w:spacing w:line="276" w:lineRule="auto"/>
        <w:ind w:left="360" w:right="360"/>
        <w:rPr>
          <w:rFonts w:asciiTheme="minorHAnsi" w:hAnsiTheme="minorHAnsi" w:cstheme="minorHAnsi"/>
          <w:szCs w:val="21"/>
        </w:rPr>
      </w:pPr>
      <w:r w:rsidRPr="00C85109">
        <w:rPr>
          <w:rFonts w:asciiTheme="minorHAnsi" w:hAnsiTheme="minorHAnsi" w:cstheme="minorHAnsi"/>
          <w:szCs w:val="21"/>
        </w:rPr>
        <w:t xml:space="preserve">It’s like everything had changed since – like when I was a </w:t>
      </w:r>
      <w:proofErr w:type="gramStart"/>
      <w:r w:rsidRPr="00C85109">
        <w:rPr>
          <w:rFonts w:asciiTheme="minorHAnsi" w:hAnsiTheme="minorHAnsi" w:cstheme="minorHAnsi"/>
          <w:szCs w:val="21"/>
        </w:rPr>
        <w:t>kid</w:t>
      </w:r>
      <w:proofErr w:type="gramEnd"/>
      <w:r w:rsidRPr="00C85109">
        <w:rPr>
          <w:rFonts w:asciiTheme="minorHAnsi" w:hAnsiTheme="minorHAnsi" w:cstheme="minorHAnsi"/>
          <w:szCs w:val="21"/>
        </w:rPr>
        <w:t xml:space="preserve"> I didn’t know anything about [my Disability Employment Service] and about anything, but now I’m man ... It’s like being a kid changing to be a man. It’s like being changed a lot in a different life. </w:t>
      </w:r>
      <w:proofErr w:type="gramStart"/>
      <w:r w:rsidRPr="00C85109">
        <w:rPr>
          <w:rFonts w:asciiTheme="minorHAnsi" w:hAnsiTheme="minorHAnsi" w:cstheme="minorHAnsi"/>
          <w:szCs w:val="21"/>
        </w:rPr>
        <w:t>It’s</w:t>
      </w:r>
      <w:proofErr w:type="gramEnd"/>
      <w:r w:rsidRPr="00C85109">
        <w:rPr>
          <w:rFonts w:asciiTheme="minorHAnsi" w:hAnsiTheme="minorHAnsi" w:cstheme="minorHAnsi"/>
          <w:szCs w:val="21"/>
        </w:rPr>
        <w:t xml:space="preserve"> really good for me ... now I’m a man. I have changed now. It feels </w:t>
      </w:r>
      <w:proofErr w:type="gramStart"/>
      <w:r w:rsidRPr="00C85109">
        <w:rPr>
          <w:rFonts w:asciiTheme="minorHAnsi" w:hAnsiTheme="minorHAnsi" w:cstheme="minorHAnsi"/>
          <w:szCs w:val="21"/>
        </w:rPr>
        <w:t>really good</w:t>
      </w:r>
      <w:proofErr w:type="gramEnd"/>
      <w:r w:rsidRPr="00C85109">
        <w:rPr>
          <w:rFonts w:asciiTheme="minorHAnsi" w:hAnsiTheme="minorHAnsi" w:cstheme="minorHAnsi"/>
          <w:szCs w:val="21"/>
        </w:rPr>
        <w:t xml:space="preserve"> now (23-year-old man, urban, working in open employment in fast food) (Meltzer et al., 2016, p.</w:t>
      </w:r>
      <w:r w:rsidR="00463606" w:rsidRPr="00C85109">
        <w:rPr>
          <w:rFonts w:asciiTheme="minorHAnsi" w:hAnsiTheme="minorHAnsi" w:cstheme="minorHAnsi"/>
          <w:szCs w:val="21"/>
        </w:rPr>
        <w:t xml:space="preserve"> </w:t>
      </w:r>
      <w:r w:rsidRPr="00C85109">
        <w:rPr>
          <w:rFonts w:asciiTheme="minorHAnsi" w:hAnsiTheme="minorHAnsi" w:cstheme="minorHAnsi"/>
          <w:szCs w:val="21"/>
        </w:rPr>
        <w:t>40)</w:t>
      </w:r>
      <w:r w:rsidR="0011617C">
        <w:rPr>
          <w:rFonts w:asciiTheme="minorHAnsi" w:hAnsiTheme="minorHAnsi" w:cstheme="minorHAnsi"/>
          <w:szCs w:val="21"/>
        </w:rPr>
        <w:t>.</w:t>
      </w:r>
    </w:p>
    <w:p w14:paraId="17D2A228" w14:textId="5584FBDF" w:rsidR="00E35816" w:rsidRPr="00C85109" w:rsidRDefault="00E35816" w:rsidP="00C85109">
      <w:pPr>
        <w:snapToGrid w:val="0"/>
        <w:spacing w:line="276" w:lineRule="auto"/>
        <w:ind w:left="360" w:right="360"/>
        <w:rPr>
          <w:rFonts w:asciiTheme="minorHAnsi" w:hAnsiTheme="minorHAnsi" w:cstheme="minorHAnsi"/>
          <w:szCs w:val="21"/>
        </w:rPr>
      </w:pPr>
      <w:r w:rsidRPr="00C85109">
        <w:rPr>
          <w:rFonts w:asciiTheme="minorHAnsi" w:hAnsiTheme="minorHAnsi" w:cstheme="minorHAnsi"/>
          <w:szCs w:val="21"/>
        </w:rPr>
        <w:t>[I work] because I want to get out of my home, I want to do something … I just wanted to do something and mix in with other people… Just to earn some money … and just live (34-year-old woman, urban, working in an ADE) (Meltzer et al., 2016, p.</w:t>
      </w:r>
      <w:r w:rsidR="00463606" w:rsidRPr="00C85109">
        <w:rPr>
          <w:rFonts w:asciiTheme="minorHAnsi" w:hAnsiTheme="minorHAnsi" w:cstheme="minorHAnsi"/>
          <w:szCs w:val="21"/>
        </w:rPr>
        <w:t xml:space="preserve"> </w:t>
      </w:r>
      <w:r w:rsidRPr="00C85109">
        <w:rPr>
          <w:rFonts w:asciiTheme="minorHAnsi" w:hAnsiTheme="minorHAnsi" w:cstheme="minorHAnsi"/>
          <w:szCs w:val="21"/>
        </w:rPr>
        <w:t>42)</w:t>
      </w:r>
      <w:r w:rsidR="0011617C">
        <w:rPr>
          <w:rFonts w:asciiTheme="minorHAnsi" w:hAnsiTheme="minorHAnsi" w:cstheme="minorHAnsi"/>
          <w:szCs w:val="21"/>
        </w:rPr>
        <w:t>.</w:t>
      </w:r>
    </w:p>
    <w:p w14:paraId="06A39201" w14:textId="69BF86CE" w:rsidR="00E35816" w:rsidRPr="00C85109" w:rsidRDefault="00E35816" w:rsidP="00C85109">
      <w:pPr>
        <w:snapToGrid w:val="0"/>
        <w:spacing w:line="276" w:lineRule="auto"/>
        <w:ind w:left="360" w:right="360"/>
        <w:rPr>
          <w:rFonts w:asciiTheme="minorHAnsi" w:hAnsiTheme="minorHAnsi" w:cstheme="minorHAnsi"/>
          <w:color w:val="000000"/>
          <w:szCs w:val="21"/>
        </w:rPr>
      </w:pPr>
      <w:r w:rsidRPr="00C85109">
        <w:rPr>
          <w:rFonts w:asciiTheme="minorHAnsi" w:hAnsiTheme="minorHAnsi" w:cstheme="minorHAnsi"/>
          <w:szCs w:val="21"/>
        </w:rPr>
        <w:t>Working is about, you get up, and you belong in the community, and get more confidence, like all the people at my job now treat me like the same, like equal (47-year-old woman, regional, working in open employment in a hotel) (Meltzer et al., 2016, p.</w:t>
      </w:r>
      <w:r w:rsidR="00463606" w:rsidRPr="00C85109">
        <w:rPr>
          <w:rFonts w:asciiTheme="minorHAnsi" w:hAnsiTheme="minorHAnsi" w:cstheme="minorHAnsi"/>
          <w:szCs w:val="21"/>
        </w:rPr>
        <w:t xml:space="preserve"> </w:t>
      </w:r>
      <w:r w:rsidRPr="00C85109">
        <w:rPr>
          <w:rFonts w:asciiTheme="minorHAnsi" w:hAnsiTheme="minorHAnsi" w:cstheme="minorHAnsi"/>
          <w:szCs w:val="21"/>
        </w:rPr>
        <w:t>41)</w:t>
      </w:r>
      <w:r w:rsidR="0011617C">
        <w:rPr>
          <w:rFonts w:asciiTheme="minorHAnsi" w:hAnsiTheme="minorHAnsi" w:cstheme="minorHAnsi"/>
          <w:szCs w:val="21"/>
        </w:rPr>
        <w:t>.</w:t>
      </w:r>
    </w:p>
    <w:p w14:paraId="4C24F00D" w14:textId="77777777" w:rsidR="00E35816" w:rsidRPr="00C85109" w:rsidRDefault="00E35816" w:rsidP="00C85109">
      <w:pPr>
        <w:snapToGrid w:val="0"/>
        <w:spacing w:line="276" w:lineRule="auto"/>
        <w:rPr>
          <w:rFonts w:asciiTheme="minorHAnsi" w:hAnsiTheme="minorHAnsi" w:cstheme="minorHAnsi"/>
          <w:szCs w:val="21"/>
        </w:rPr>
      </w:pPr>
      <w:r w:rsidRPr="00C85109">
        <w:rPr>
          <w:rFonts w:asciiTheme="minorHAnsi" w:hAnsiTheme="minorHAnsi" w:cstheme="minorHAnsi"/>
          <w:szCs w:val="21"/>
        </w:rPr>
        <w:t>Research suggests that having a job in young adulthood is linked to improved socioeconomic status 6-7 years later (Honey et al, 2014).</w:t>
      </w:r>
    </w:p>
    <w:p w14:paraId="401A0BB3" w14:textId="08A6DA02" w:rsidR="00E35816" w:rsidRPr="00C85109" w:rsidRDefault="00E35816" w:rsidP="00C85109">
      <w:pPr>
        <w:snapToGrid w:val="0"/>
        <w:spacing w:line="276" w:lineRule="auto"/>
        <w:rPr>
          <w:rFonts w:asciiTheme="minorHAnsi" w:hAnsiTheme="minorHAnsi" w:cstheme="minorHAnsi"/>
          <w:color w:val="000000"/>
          <w:szCs w:val="21"/>
        </w:rPr>
      </w:pPr>
      <w:r w:rsidRPr="00C85109">
        <w:rPr>
          <w:rFonts w:asciiTheme="minorHAnsi" w:hAnsiTheme="minorHAnsi" w:cstheme="minorHAnsi"/>
          <w:color w:val="000000"/>
          <w:szCs w:val="21"/>
        </w:rPr>
        <w:t xml:space="preserve">Interestingly, working even a small </w:t>
      </w:r>
      <w:proofErr w:type="gramStart"/>
      <w:r w:rsidRPr="00C85109">
        <w:rPr>
          <w:rFonts w:asciiTheme="minorHAnsi" w:hAnsiTheme="minorHAnsi" w:cstheme="minorHAnsi"/>
          <w:color w:val="000000"/>
          <w:szCs w:val="21"/>
        </w:rPr>
        <w:t>amount</w:t>
      </w:r>
      <w:proofErr w:type="gramEnd"/>
      <w:r w:rsidRPr="00C85109">
        <w:rPr>
          <w:rFonts w:asciiTheme="minorHAnsi" w:hAnsiTheme="minorHAnsi" w:cstheme="minorHAnsi"/>
          <w:color w:val="000000"/>
          <w:szCs w:val="21"/>
        </w:rPr>
        <w:t xml:space="preserve"> of hours per week can generate significant outcomes. A recent large-scale study of people with and without disability in the UK (16-65 year </w:t>
      </w:r>
      <w:proofErr w:type="spellStart"/>
      <w:r w:rsidRPr="00C85109">
        <w:rPr>
          <w:rFonts w:asciiTheme="minorHAnsi" w:hAnsiTheme="minorHAnsi" w:cstheme="minorHAnsi"/>
          <w:color w:val="000000"/>
          <w:szCs w:val="21"/>
        </w:rPr>
        <w:t>olds</w:t>
      </w:r>
      <w:proofErr w:type="spellEnd"/>
      <w:r w:rsidRPr="00C85109">
        <w:rPr>
          <w:rFonts w:asciiTheme="minorHAnsi" w:hAnsiTheme="minorHAnsi" w:cstheme="minorHAnsi"/>
          <w:color w:val="000000"/>
          <w:szCs w:val="21"/>
        </w:rPr>
        <w:t xml:space="preserve">) found that </w:t>
      </w:r>
      <w:r w:rsidRPr="00C85109">
        <w:rPr>
          <w:rFonts w:asciiTheme="minorHAnsi" w:hAnsiTheme="minorHAnsi" w:cstheme="minorHAnsi"/>
          <w:szCs w:val="21"/>
        </w:rPr>
        <w:t xml:space="preserve">working 8 hours a week </w:t>
      </w:r>
      <w:r w:rsidR="00FA6F78" w:rsidRPr="00C85109">
        <w:rPr>
          <w:rFonts w:asciiTheme="minorHAnsi" w:hAnsiTheme="minorHAnsi" w:cstheme="minorHAnsi"/>
          <w:szCs w:val="21"/>
        </w:rPr>
        <w:t>“</w:t>
      </w:r>
      <w:r w:rsidRPr="00C85109">
        <w:rPr>
          <w:rFonts w:asciiTheme="minorHAnsi" w:hAnsiTheme="minorHAnsi" w:cstheme="minorHAnsi"/>
          <w:szCs w:val="21"/>
        </w:rPr>
        <w:t>generates significant mental health and well-being benefits for previously unemployed or economically inactive individuals</w:t>
      </w:r>
      <w:r w:rsidR="00FA6F78" w:rsidRPr="00C85109">
        <w:rPr>
          <w:rFonts w:asciiTheme="minorHAnsi" w:hAnsiTheme="minorHAnsi" w:cstheme="minorHAnsi"/>
          <w:szCs w:val="21"/>
        </w:rPr>
        <w:t>”</w:t>
      </w:r>
      <w:r w:rsidRPr="00C85109">
        <w:rPr>
          <w:rFonts w:asciiTheme="minorHAnsi" w:hAnsiTheme="minorHAnsi" w:cstheme="minorHAnsi"/>
          <w:szCs w:val="21"/>
        </w:rPr>
        <w:t xml:space="preserve"> (</w:t>
      </w:r>
      <w:proofErr w:type="spellStart"/>
      <w:r w:rsidRPr="00C85109">
        <w:rPr>
          <w:rFonts w:asciiTheme="minorHAnsi" w:hAnsiTheme="minorHAnsi" w:cstheme="minorHAnsi"/>
          <w:szCs w:val="21"/>
        </w:rPr>
        <w:t>Kamerade</w:t>
      </w:r>
      <w:proofErr w:type="spellEnd"/>
      <w:r w:rsidRPr="00C85109">
        <w:rPr>
          <w:rFonts w:asciiTheme="minorHAnsi" w:hAnsiTheme="minorHAnsi" w:cstheme="minorHAnsi"/>
          <w:szCs w:val="21"/>
        </w:rPr>
        <w:t xml:space="preserve"> et al., 2019, p.</w:t>
      </w:r>
      <w:r w:rsidR="00800C17" w:rsidRPr="00C85109">
        <w:rPr>
          <w:rFonts w:asciiTheme="minorHAnsi" w:hAnsiTheme="minorHAnsi" w:cstheme="minorHAnsi"/>
          <w:szCs w:val="21"/>
        </w:rPr>
        <w:t xml:space="preserve"> </w:t>
      </w:r>
      <w:r w:rsidRPr="00C85109">
        <w:rPr>
          <w:rFonts w:asciiTheme="minorHAnsi" w:hAnsiTheme="minorHAnsi" w:cstheme="minorHAnsi"/>
          <w:szCs w:val="21"/>
        </w:rPr>
        <w:t xml:space="preserve">1). </w:t>
      </w:r>
      <w:r w:rsidRPr="00C85109">
        <w:rPr>
          <w:rFonts w:asciiTheme="minorHAnsi" w:hAnsiTheme="minorHAnsi" w:cstheme="minorHAnsi"/>
          <w:color w:val="000000"/>
          <w:szCs w:val="21"/>
        </w:rPr>
        <w:t>This study found that people do not require full time employment to achieve these benefits.</w:t>
      </w:r>
    </w:p>
    <w:p w14:paraId="423F97DC" w14:textId="2705ADDB" w:rsidR="00E35816" w:rsidRPr="00C85109" w:rsidRDefault="00E35816" w:rsidP="00C85109">
      <w:pPr>
        <w:snapToGrid w:val="0"/>
        <w:spacing w:line="276" w:lineRule="auto"/>
        <w:rPr>
          <w:rFonts w:asciiTheme="minorHAnsi" w:hAnsiTheme="minorHAnsi" w:cstheme="minorHAnsi"/>
          <w:szCs w:val="21"/>
        </w:rPr>
      </w:pPr>
      <w:r w:rsidRPr="00C85109">
        <w:rPr>
          <w:rFonts w:asciiTheme="minorHAnsi" w:hAnsiTheme="minorHAnsi" w:cstheme="minorHAnsi"/>
          <w:szCs w:val="21"/>
        </w:rPr>
        <w:t>While there is evidence that having a job leads to positive outcomes, there is also evidence that not having one leads to negative outcomes. There is strong evidence that a lack of employment greatly increases and contributes to the high relative poverty risk for people in Australia (Honey et al., 2014). The relationship between unemployment and poor health is also well established in the literature (Emerson et al., 2018; Kavanagh et al., 2013).</w:t>
      </w:r>
    </w:p>
    <w:p w14:paraId="1FEB7723" w14:textId="77777777" w:rsidR="00CE427B" w:rsidRPr="00C85109" w:rsidRDefault="00CE427B" w:rsidP="00C85109">
      <w:pPr>
        <w:snapToGrid w:val="0"/>
        <w:spacing w:line="276" w:lineRule="auto"/>
        <w:rPr>
          <w:rFonts w:asciiTheme="minorHAnsi" w:hAnsiTheme="minorHAnsi" w:cstheme="minorHAnsi"/>
          <w:szCs w:val="21"/>
        </w:rPr>
      </w:pPr>
    </w:p>
    <w:p w14:paraId="1CB1B7DA" w14:textId="77777777" w:rsidR="00E35816" w:rsidRPr="00C85109" w:rsidRDefault="00E35816" w:rsidP="00C85109">
      <w:pPr>
        <w:pStyle w:val="Heading2"/>
      </w:pPr>
      <w:bookmarkStart w:id="156" w:name="_Toc49417770"/>
      <w:bookmarkStart w:id="157" w:name="_Toc49417974"/>
      <w:r w:rsidRPr="00C85109">
        <w:t>What are the benefits of having a job in open employment settings vs having a job in a segregated setting?</w:t>
      </w:r>
      <w:bookmarkEnd w:id="156"/>
      <w:bookmarkEnd w:id="157"/>
    </w:p>
    <w:p w14:paraId="68E6F35F" w14:textId="77777777" w:rsidR="00E35816" w:rsidRPr="00C85109" w:rsidRDefault="00E35816" w:rsidP="00C85109">
      <w:pPr>
        <w:spacing w:line="276" w:lineRule="auto"/>
        <w:rPr>
          <w:rFonts w:asciiTheme="minorHAnsi" w:hAnsiTheme="minorHAnsi" w:cstheme="minorHAnsi"/>
          <w:szCs w:val="21"/>
        </w:rPr>
      </w:pPr>
      <w:r w:rsidRPr="00C85109">
        <w:rPr>
          <w:rFonts w:asciiTheme="minorHAnsi" w:hAnsiTheme="minorHAnsi" w:cstheme="minorHAnsi"/>
          <w:szCs w:val="21"/>
        </w:rPr>
        <w:t>Many people with disability work in settings that are not open competitive employment. In Australia these include Australian Disability Enterprises and the term ‘supported employment’ is used in Australia to refer to this kind of work. (It should be noted that ‘supported employment’ has different meanings in different countries). The Australian government describes supported employment as follows:</w:t>
      </w:r>
    </w:p>
    <w:p w14:paraId="7F1360CB" w14:textId="73A38325" w:rsidR="00E35816" w:rsidRPr="00C85109" w:rsidRDefault="00E35816" w:rsidP="00C85109">
      <w:pPr>
        <w:spacing w:line="276" w:lineRule="auto"/>
        <w:ind w:left="360"/>
        <w:rPr>
          <w:rFonts w:asciiTheme="minorHAnsi" w:hAnsiTheme="minorHAnsi" w:cstheme="minorHAnsi"/>
          <w:szCs w:val="21"/>
        </w:rPr>
      </w:pPr>
      <w:r w:rsidRPr="00C85109">
        <w:rPr>
          <w:rFonts w:asciiTheme="minorHAnsi" w:hAnsiTheme="minorHAnsi" w:cstheme="minorHAnsi"/>
          <w:szCs w:val="21"/>
        </w:rPr>
        <w:t xml:space="preserve">‘Supported’ employment generally refers to employment in enterprises that have as their primary purpose employment of people with disability, and where </w:t>
      </w:r>
      <w:proofErr w:type="gramStart"/>
      <w:r w:rsidRPr="00C85109">
        <w:rPr>
          <w:rFonts w:asciiTheme="minorHAnsi" w:hAnsiTheme="minorHAnsi" w:cstheme="minorHAnsi"/>
          <w:szCs w:val="21"/>
        </w:rPr>
        <w:t>the majority of</w:t>
      </w:r>
      <w:proofErr w:type="gramEnd"/>
      <w:r w:rsidRPr="00C85109">
        <w:rPr>
          <w:rFonts w:asciiTheme="minorHAnsi" w:hAnsiTheme="minorHAnsi" w:cstheme="minorHAnsi"/>
          <w:szCs w:val="21"/>
        </w:rPr>
        <w:t xml:space="preserve"> employees have disability. </w:t>
      </w:r>
      <w:r w:rsidRPr="00C85109">
        <w:rPr>
          <w:rFonts w:asciiTheme="minorHAnsi" w:hAnsiTheme="minorHAnsi" w:cstheme="minorHAnsi"/>
          <w:szCs w:val="21"/>
        </w:rPr>
        <w:lastRenderedPageBreak/>
        <w:t xml:space="preserve">There are often mixed industries within enterprises to cater for their employees, and there are higher levels of job </w:t>
      </w:r>
      <w:proofErr w:type="spellStart"/>
      <w:r w:rsidRPr="00C85109">
        <w:rPr>
          <w:rFonts w:asciiTheme="minorHAnsi" w:hAnsiTheme="minorHAnsi" w:cstheme="minorHAnsi"/>
          <w:szCs w:val="21"/>
        </w:rPr>
        <w:t>customi</w:t>
      </w:r>
      <w:r w:rsidR="00607B19" w:rsidRPr="00C85109">
        <w:rPr>
          <w:rFonts w:asciiTheme="minorHAnsi" w:hAnsiTheme="minorHAnsi" w:cstheme="minorHAnsi"/>
          <w:szCs w:val="21"/>
        </w:rPr>
        <w:t>s</w:t>
      </w:r>
      <w:r w:rsidRPr="00C85109">
        <w:rPr>
          <w:rFonts w:asciiTheme="minorHAnsi" w:hAnsiTheme="minorHAnsi" w:cstheme="minorHAnsi"/>
          <w:szCs w:val="21"/>
        </w:rPr>
        <w:t>ation</w:t>
      </w:r>
      <w:proofErr w:type="spellEnd"/>
      <w:r w:rsidRPr="00C85109">
        <w:rPr>
          <w:rFonts w:asciiTheme="minorHAnsi" w:hAnsiTheme="minorHAnsi" w:cstheme="minorHAnsi"/>
          <w:szCs w:val="21"/>
        </w:rPr>
        <w:t xml:space="preserve"> (</w:t>
      </w:r>
      <w:r w:rsidR="00942173" w:rsidRPr="00C85109">
        <w:rPr>
          <w:rFonts w:asciiTheme="minorHAnsi" w:hAnsiTheme="minorHAnsi" w:cstheme="minorHAnsi"/>
          <w:szCs w:val="21"/>
        </w:rPr>
        <w:t>Department of Social Services</w:t>
      </w:r>
      <w:r w:rsidRPr="00C85109">
        <w:rPr>
          <w:rFonts w:asciiTheme="minorHAnsi" w:hAnsiTheme="minorHAnsi" w:cstheme="minorHAnsi"/>
          <w:szCs w:val="21"/>
        </w:rPr>
        <w:t>, 2017, p.</w:t>
      </w:r>
      <w:r w:rsidR="00942173" w:rsidRPr="00C85109">
        <w:rPr>
          <w:rFonts w:asciiTheme="minorHAnsi" w:hAnsiTheme="minorHAnsi" w:cstheme="minorHAnsi"/>
          <w:szCs w:val="21"/>
        </w:rPr>
        <w:t xml:space="preserve"> </w:t>
      </w:r>
      <w:r w:rsidRPr="00C85109">
        <w:rPr>
          <w:rFonts w:asciiTheme="minorHAnsi" w:hAnsiTheme="minorHAnsi" w:cstheme="minorHAnsi"/>
          <w:szCs w:val="21"/>
        </w:rPr>
        <w:t>8)</w:t>
      </w:r>
      <w:r w:rsidR="0011617C">
        <w:rPr>
          <w:rFonts w:asciiTheme="minorHAnsi" w:hAnsiTheme="minorHAnsi" w:cstheme="minorHAnsi"/>
          <w:szCs w:val="21"/>
        </w:rPr>
        <w:t>.</w:t>
      </w:r>
    </w:p>
    <w:p w14:paraId="2575516C" w14:textId="77777777" w:rsidR="00E35816" w:rsidRPr="00C85109" w:rsidRDefault="00E35816" w:rsidP="00C85109">
      <w:pPr>
        <w:spacing w:line="276" w:lineRule="auto"/>
        <w:rPr>
          <w:rFonts w:asciiTheme="minorHAnsi" w:hAnsiTheme="minorHAnsi" w:cstheme="minorHAnsi"/>
          <w:szCs w:val="21"/>
        </w:rPr>
      </w:pPr>
      <w:r w:rsidRPr="00C85109">
        <w:rPr>
          <w:rFonts w:asciiTheme="minorHAnsi" w:hAnsiTheme="minorHAnsi" w:cstheme="minorHAnsi"/>
          <w:szCs w:val="21"/>
        </w:rPr>
        <w:t>Research has identified that outcomes from open employment compared to supported employment (i.e. sheltered or segregated) settings include:</w:t>
      </w:r>
    </w:p>
    <w:p w14:paraId="20C15183" w14:textId="77777777" w:rsidR="00E35816" w:rsidRPr="00C85109" w:rsidRDefault="00E35816" w:rsidP="00C85109">
      <w:pPr>
        <w:pStyle w:val="ListParagraph"/>
        <w:numPr>
          <w:ilvl w:val="0"/>
          <w:numId w:val="69"/>
        </w:numPr>
        <w:spacing w:line="276" w:lineRule="auto"/>
        <w:rPr>
          <w:rFonts w:asciiTheme="minorHAnsi" w:hAnsiTheme="minorHAnsi" w:cstheme="minorHAnsi"/>
          <w:szCs w:val="21"/>
        </w:rPr>
      </w:pPr>
      <w:r w:rsidRPr="00C85109">
        <w:rPr>
          <w:rFonts w:asciiTheme="minorHAnsi" w:hAnsiTheme="minorHAnsi" w:cstheme="minorHAnsi"/>
          <w:szCs w:val="21"/>
        </w:rPr>
        <w:t>increased earnings</w:t>
      </w:r>
    </w:p>
    <w:p w14:paraId="3360C7B0" w14:textId="77777777" w:rsidR="00E35816" w:rsidRPr="00C85109" w:rsidRDefault="00E35816" w:rsidP="00C85109">
      <w:pPr>
        <w:pStyle w:val="ListParagraph"/>
        <w:numPr>
          <w:ilvl w:val="0"/>
          <w:numId w:val="69"/>
        </w:numPr>
        <w:spacing w:line="276" w:lineRule="auto"/>
        <w:rPr>
          <w:rFonts w:asciiTheme="minorHAnsi" w:hAnsiTheme="minorHAnsi" w:cstheme="minorHAnsi"/>
          <w:szCs w:val="21"/>
        </w:rPr>
      </w:pPr>
      <w:r w:rsidRPr="00C85109">
        <w:rPr>
          <w:rFonts w:asciiTheme="minorHAnsi" w:hAnsiTheme="minorHAnsi" w:cstheme="minorHAnsi"/>
          <w:szCs w:val="21"/>
        </w:rPr>
        <w:t>increased quality of life</w:t>
      </w:r>
    </w:p>
    <w:p w14:paraId="22D96E26" w14:textId="77777777" w:rsidR="00E35816" w:rsidRPr="00C85109" w:rsidRDefault="00E35816" w:rsidP="00C85109">
      <w:pPr>
        <w:pStyle w:val="ListParagraph"/>
        <w:numPr>
          <w:ilvl w:val="0"/>
          <w:numId w:val="69"/>
        </w:numPr>
        <w:spacing w:line="276" w:lineRule="auto"/>
        <w:rPr>
          <w:rFonts w:asciiTheme="minorHAnsi" w:hAnsiTheme="minorHAnsi" w:cstheme="minorHAnsi"/>
          <w:szCs w:val="21"/>
        </w:rPr>
      </w:pPr>
      <w:r w:rsidRPr="00C85109">
        <w:rPr>
          <w:rFonts w:asciiTheme="minorHAnsi" w:hAnsiTheme="minorHAnsi" w:cstheme="minorHAnsi"/>
          <w:szCs w:val="21"/>
        </w:rPr>
        <w:t>increased opportunities for skill development.</w:t>
      </w:r>
    </w:p>
    <w:p w14:paraId="0A637F06" w14:textId="3846CDB3" w:rsidR="00E35816" w:rsidRPr="00C85109" w:rsidRDefault="00E35816" w:rsidP="00C85109">
      <w:pPr>
        <w:spacing w:line="276" w:lineRule="auto"/>
        <w:rPr>
          <w:rFonts w:asciiTheme="minorHAnsi" w:hAnsiTheme="minorHAnsi" w:cstheme="minorHAnsi"/>
          <w:szCs w:val="21"/>
        </w:rPr>
      </w:pPr>
      <w:r w:rsidRPr="00C85109">
        <w:rPr>
          <w:rFonts w:asciiTheme="minorHAnsi" w:hAnsiTheme="minorHAnsi" w:cstheme="minorHAnsi"/>
          <w:szCs w:val="21"/>
        </w:rPr>
        <w:t>A range of international research shows that people with intellectual disability can be successfully employed in competitive, integrated positions and substantially increase earnings in comparison to segregated work or day support programs (Butterworth</w:t>
      </w:r>
      <w:r w:rsidR="00C62E89" w:rsidRPr="00C85109">
        <w:rPr>
          <w:rFonts w:asciiTheme="minorHAnsi" w:hAnsiTheme="minorHAnsi" w:cstheme="minorHAnsi"/>
          <w:szCs w:val="21"/>
        </w:rPr>
        <w:t xml:space="preserve"> et al.</w:t>
      </w:r>
      <w:r w:rsidRPr="00C85109">
        <w:rPr>
          <w:rFonts w:asciiTheme="minorHAnsi" w:hAnsiTheme="minorHAnsi" w:cstheme="minorHAnsi"/>
          <w:szCs w:val="21"/>
        </w:rPr>
        <w:t xml:space="preserve">, 2017; </w:t>
      </w:r>
      <w:proofErr w:type="spellStart"/>
      <w:r w:rsidRPr="00C85109">
        <w:rPr>
          <w:rFonts w:asciiTheme="minorHAnsi" w:hAnsiTheme="minorHAnsi" w:cstheme="minorHAnsi"/>
          <w:szCs w:val="21"/>
        </w:rPr>
        <w:t>Migliore</w:t>
      </w:r>
      <w:proofErr w:type="spellEnd"/>
      <w:r w:rsidRPr="00C85109">
        <w:rPr>
          <w:rFonts w:asciiTheme="minorHAnsi" w:hAnsiTheme="minorHAnsi" w:cstheme="minorHAnsi"/>
          <w:szCs w:val="21"/>
        </w:rPr>
        <w:t xml:space="preserve"> et al., 2012; </w:t>
      </w:r>
      <w:proofErr w:type="spellStart"/>
      <w:r w:rsidRPr="00C85109">
        <w:rPr>
          <w:rFonts w:asciiTheme="minorHAnsi" w:hAnsiTheme="minorHAnsi" w:cstheme="minorHAnsi"/>
          <w:szCs w:val="21"/>
        </w:rPr>
        <w:t>Wehman</w:t>
      </w:r>
      <w:proofErr w:type="spellEnd"/>
      <w:r w:rsidR="00630692" w:rsidRPr="00C85109">
        <w:rPr>
          <w:rFonts w:asciiTheme="minorHAnsi" w:hAnsiTheme="minorHAnsi" w:cstheme="minorHAnsi"/>
          <w:szCs w:val="21"/>
        </w:rPr>
        <w:t xml:space="preserve"> et al.</w:t>
      </w:r>
      <w:r w:rsidRPr="00C85109">
        <w:rPr>
          <w:rFonts w:asciiTheme="minorHAnsi" w:hAnsiTheme="minorHAnsi" w:cstheme="minorHAnsi"/>
          <w:szCs w:val="21"/>
        </w:rPr>
        <w:t>, 2014</w:t>
      </w:r>
      <w:r w:rsidR="006255CD">
        <w:rPr>
          <w:rFonts w:asciiTheme="minorHAnsi" w:hAnsiTheme="minorHAnsi" w:cstheme="minorHAnsi"/>
          <w:szCs w:val="21"/>
        </w:rPr>
        <w:t xml:space="preserve"> cited in </w:t>
      </w:r>
      <w:proofErr w:type="spellStart"/>
      <w:r w:rsidRPr="00C85109">
        <w:rPr>
          <w:rFonts w:asciiTheme="minorHAnsi" w:hAnsiTheme="minorHAnsi" w:cstheme="minorHAnsi"/>
          <w:szCs w:val="21"/>
        </w:rPr>
        <w:t>Wehman</w:t>
      </w:r>
      <w:proofErr w:type="spellEnd"/>
      <w:r w:rsidRPr="00C85109">
        <w:rPr>
          <w:rFonts w:asciiTheme="minorHAnsi" w:hAnsiTheme="minorHAnsi" w:cstheme="minorHAnsi"/>
          <w:szCs w:val="21"/>
        </w:rPr>
        <w:t xml:space="preserve"> et al., 2018).There is also some evidence that people with disability working in </w:t>
      </w:r>
      <w:r w:rsidR="00881BF2" w:rsidRPr="00C85109">
        <w:rPr>
          <w:rFonts w:asciiTheme="minorHAnsi" w:hAnsiTheme="minorHAnsi" w:cstheme="minorHAnsi"/>
          <w:szCs w:val="21"/>
        </w:rPr>
        <w:t>non-segregated</w:t>
      </w:r>
      <w:r w:rsidRPr="00C85109">
        <w:rPr>
          <w:rFonts w:asciiTheme="minorHAnsi" w:hAnsiTheme="minorHAnsi" w:cstheme="minorHAnsi"/>
          <w:szCs w:val="21"/>
        </w:rPr>
        <w:t xml:space="preserve"> settings achieve higher self-reported quality of life than those working in sheltered employment (Beyer et al., 2010). In addition, one Australian study of people with intellectual disability found that while there are skill development opportunities in both open employment and ADEs, those working in open employment had greater access to skill development opportunities in the mainstream community (Meltzer et al., 2016).</w:t>
      </w:r>
    </w:p>
    <w:p w14:paraId="260CCD24" w14:textId="77777777" w:rsidR="00E35816" w:rsidRPr="00C85109" w:rsidRDefault="00E35816" w:rsidP="00C85109">
      <w:pPr>
        <w:autoSpaceDE w:val="0"/>
        <w:autoSpaceDN w:val="0"/>
        <w:adjustRightInd w:val="0"/>
        <w:snapToGrid w:val="0"/>
        <w:spacing w:line="276" w:lineRule="auto"/>
        <w:rPr>
          <w:rFonts w:asciiTheme="minorHAnsi" w:hAnsiTheme="minorHAnsi" w:cstheme="minorHAnsi"/>
          <w:szCs w:val="21"/>
        </w:rPr>
      </w:pPr>
      <w:r w:rsidRPr="00C85109">
        <w:rPr>
          <w:rFonts w:asciiTheme="minorHAnsi" w:hAnsiTheme="minorHAnsi" w:cstheme="minorHAnsi"/>
          <w:szCs w:val="21"/>
        </w:rPr>
        <w:t>There is also evidence that people with intellectual disability prefer employment in non-segregated settings (</w:t>
      </w:r>
      <w:proofErr w:type="spellStart"/>
      <w:r w:rsidRPr="00C85109">
        <w:rPr>
          <w:rFonts w:asciiTheme="minorHAnsi" w:hAnsiTheme="minorHAnsi" w:cstheme="minorHAnsi"/>
          <w:szCs w:val="21"/>
        </w:rPr>
        <w:t>Wehman</w:t>
      </w:r>
      <w:proofErr w:type="spellEnd"/>
      <w:r w:rsidRPr="00C85109">
        <w:rPr>
          <w:rFonts w:asciiTheme="minorHAnsi" w:hAnsiTheme="minorHAnsi" w:cstheme="minorHAnsi"/>
          <w:szCs w:val="21"/>
        </w:rPr>
        <w:t xml:space="preserve"> et al., 2018) and that open employment and social enterprises are viewed as less segregated than ADE settings by Australians with intellectual disability (Meltzer et al., 2016). People with intellectual disability have reported that the main motivation for moving from an ADE to open employment was better pay, to work with people without disability and increased opportunities for social interaction (Meltzer et al., 2016). </w:t>
      </w:r>
    </w:p>
    <w:p w14:paraId="5426AE40" w14:textId="42058A28" w:rsidR="00E35816" w:rsidRPr="00C85109" w:rsidRDefault="00E35816" w:rsidP="00C85109">
      <w:pPr>
        <w:autoSpaceDE w:val="0"/>
        <w:autoSpaceDN w:val="0"/>
        <w:adjustRightInd w:val="0"/>
        <w:spacing w:line="276" w:lineRule="auto"/>
        <w:rPr>
          <w:rFonts w:asciiTheme="minorHAnsi" w:hAnsiTheme="minorHAnsi" w:cstheme="minorHAnsi"/>
          <w:szCs w:val="21"/>
        </w:rPr>
      </w:pPr>
      <w:r w:rsidRPr="00C85109">
        <w:rPr>
          <w:rFonts w:asciiTheme="minorHAnsi" w:hAnsiTheme="minorHAnsi" w:cstheme="minorHAnsi"/>
          <w:szCs w:val="21"/>
        </w:rPr>
        <w:t xml:space="preserve">While there is evidence that open employment leads to a wide range of outcomes for employees with disability, there is also evidence that some individuals prefer different settings including those of Australian Disability Enterprises. </w:t>
      </w:r>
      <w:r w:rsidRPr="00C85109">
        <w:rPr>
          <w:rFonts w:asciiTheme="minorHAnsi" w:hAnsiTheme="minorHAnsi" w:cstheme="minorHAnsi"/>
          <w:color w:val="000000"/>
          <w:szCs w:val="21"/>
        </w:rPr>
        <w:t xml:space="preserve">People with disability report that the relationships they form at work are the main factor that attaches them to their ADE and is the primary reason they want to stay (Meltzer et al., 2016). People with intellectual disability report enjoyment of ‘sheltered workshop’ settings with a range of fun activities and friendships that are more likely to extend beyond the workplace (Lysaght et al., 2017). Similarly, a proportion of young people with intellectual disability using </w:t>
      </w:r>
      <w:proofErr w:type="spellStart"/>
      <w:r w:rsidRPr="00C85109">
        <w:rPr>
          <w:rFonts w:asciiTheme="minorHAnsi" w:hAnsiTheme="minorHAnsi" w:cstheme="minorHAnsi"/>
          <w:color w:val="000000"/>
          <w:szCs w:val="21"/>
        </w:rPr>
        <w:t>Individualised</w:t>
      </w:r>
      <w:proofErr w:type="spellEnd"/>
      <w:r w:rsidRPr="00C85109">
        <w:rPr>
          <w:rFonts w:asciiTheme="minorHAnsi" w:hAnsiTheme="minorHAnsi" w:cstheme="minorHAnsi"/>
          <w:color w:val="000000"/>
          <w:szCs w:val="21"/>
        </w:rPr>
        <w:t xml:space="preserve"> Placement and Support became disengaged from this program due to concern over the loss of their social networks in sheltered employment settings (Noel et al., 2017). In addition, there is evidence that some people have had negative experiences in open employment and therefore prefer different settings</w:t>
      </w:r>
      <w:r w:rsidRPr="00C85109">
        <w:rPr>
          <w:rFonts w:asciiTheme="minorHAnsi" w:hAnsiTheme="minorHAnsi" w:cstheme="minorHAnsi"/>
          <w:szCs w:val="21"/>
        </w:rPr>
        <w:t xml:space="preserve"> (</w:t>
      </w:r>
      <w:proofErr w:type="spellStart"/>
      <w:r w:rsidRPr="00C85109">
        <w:rPr>
          <w:rFonts w:asciiTheme="minorHAnsi" w:hAnsiTheme="minorHAnsi" w:cstheme="minorHAnsi"/>
          <w:szCs w:val="21"/>
        </w:rPr>
        <w:t>Simplican</w:t>
      </w:r>
      <w:proofErr w:type="spellEnd"/>
      <w:r w:rsidRPr="00C85109">
        <w:rPr>
          <w:rFonts w:asciiTheme="minorHAnsi" w:hAnsiTheme="minorHAnsi" w:cstheme="minorHAnsi"/>
          <w:szCs w:val="21"/>
        </w:rPr>
        <w:t xml:space="preserve"> et al., 2014, citing Hall, 2009; Meltzer et al., 2016), though negative experiences are also reported in ADE settings (Meltzer et al., 2016). One Australian study of people with intellectual disability found that ADEs and social enterprises were felt to be more supportive of workers with intellectual disability and offer greater job stability than open employment (Meltzer et al., 2016). Finally, this study also identified that a small number of research participants employed in ADEs held more skilled and supervisory roles whereas those in open employment did not (Meltzer et al., 2016).</w:t>
      </w:r>
    </w:p>
    <w:p w14:paraId="6AF7B4B9" w14:textId="77777777" w:rsidR="00E35816" w:rsidRPr="00C85109" w:rsidRDefault="00E35816" w:rsidP="00C85109">
      <w:pPr>
        <w:autoSpaceDE w:val="0"/>
        <w:autoSpaceDN w:val="0"/>
        <w:adjustRightInd w:val="0"/>
        <w:spacing w:line="276" w:lineRule="auto"/>
        <w:rPr>
          <w:rFonts w:asciiTheme="minorHAnsi" w:hAnsiTheme="minorHAnsi" w:cstheme="minorHAnsi"/>
          <w:szCs w:val="21"/>
        </w:rPr>
      </w:pPr>
    </w:p>
    <w:p w14:paraId="3BDD177E" w14:textId="77777777" w:rsidR="00E35816" w:rsidRPr="00C85109" w:rsidRDefault="00E35816" w:rsidP="00C85109">
      <w:pPr>
        <w:pStyle w:val="Heading2"/>
      </w:pPr>
      <w:bookmarkStart w:id="158" w:name="_Toc49417771"/>
      <w:bookmarkStart w:id="159" w:name="_Toc49417975"/>
      <w:r w:rsidRPr="00C85109">
        <w:t>Moving from segregated to open employment</w:t>
      </w:r>
      <w:bookmarkEnd w:id="158"/>
      <w:bookmarkEnd w:id="159"/>
    </w:p>
    <w:p w14:paraId="2BDB0109" w14:textId="77777777" w:rsidR="00E35816" w:rsidRPr="00C85109" w:rsidRDefault="00E35816" w:rsidP="00C85109">
      <w:pPr>
        <w:pStyle w:val="Heading2"/>
      </w:pPr>
      <w:bookmarkStart w:id="160" w:name="_Toc49417772"/>
      <w:bookmarkStart w:id="161" w:name="_Toc49417976"/>
      <w:r w:rsidRPr="00C85109">
        <w:t>The problem</w:t>
      </w:r>
      <w:bookmarkEnd w:id="160"/>
      <w:bookmarkEnd w:id="161"/>
    </w:p>
    <w:p w14:paraId="0BC37BF5" w14:textId="52591E0B" w:rsidR="00E35816" w:rsidRPr="00C85109" w:rsidRDefault="00E35816" w:rsidP="00C85109">
      <w:pPr>
        <w:spacing w:line="276" w:lineRule="auto"/>
        <w:rPr>
          <w:rFonts w:asciiTheme="minorHAnsi" w:hAnsiTheme="minorHAnsi" w:cstheme="minorHAnsi"/>
          <w:szCs w:val="21"/>
        </w:rPr>
      </w:pPr>
      <w:r w:rsidRPr="00C85109">
        <w:rPr>
          <w:rFonts w:asciiTheme="minorHAnsi" w:hAnsiTheme="minorHAnsi" w:cstheme="minorHAnsi"/>
          <w:szCs w:val="21"/>
        </w:rPr>
        <w:t xml:space="preserve">Employment in Australian Disability Enterprises (ADEs) is a common experience for Australian’s with intellectual disability. People with intellectual disability who are National Disability Insurance Scheme </w:t>
      </w:r>
      <w:r w:rsidRPr="00C85109">
        <w:rPr>
          <w:rFonts w:asciiTheme="minorHAnsi" w:hAnsiTheme="minorHAnsi" w:cstheme="minorHAnsi"/>
          <w:szCs w:val="21"/>
        </w:rPr>
        <w:lastRenderedPageBreak/>
        <w:t>(NDIS) participants are more likely to be employed in Australian Disability Enterprises (ADEs) than other participants of the NDIS. A large majority of NDIS participants with an intellectual disability who are aged 25 years and over and are employed, have employment in ADEs (70%), with 15% having a job in open employment on a full wage, and a further 13% having a job in open employment on a part wage (NDIA, 2019). Younger NDIS participants with intellectual disability (aged 15-24) are far more likely to be in open employment (on part or full wages) than employed by an ADE (NDIA, 2019, p.</w:t>
      </w:r>
      <w:r w:rsidR="00FA1AFB" w:rsidRPr="00C85109">
        <w:rPr>
          <w:rFonts w:asciiTheme="minorHAnsi" w:hAnsiTheme="minorHAnsi" w:cstheme="minorHAnsi"/>
          <w:szCs w:val="21"/>
        </w:rPr>
        <w:t xml:space="preserve"> </w:t>
      </w:r>
      <w:r w:rsidRPr="00C85109">
        <w:rPr>
          <w:rFonts w:asciiTheme="minorHAnsi" w:hAnsiTheme="minorHAnsi" w:cstheme="minorHAnsi"/>
          <w:szCs w:val="21"/>
        </w:rPr>
        <w:t xml:space="preserve">35). </w:t>
      </w:r>
    </w:p>
    <w:p w14:paraId="657716A1" w14:textId="77777777" w:rsidR="00E35816" w:rsidRPr="00C85109" w:rsidRDefault="00E35816" w:rsidP="00C85109">
      <w:pPr>
        <w:spacing w:line="276" w:lineRule="auto"/>
        <w:rPr>
          <w:rFonts w:asciiTheme="minorHAnsi" w:hAnsiTheme="minorHAnsi" w:cstheme="minorHAnsi"/>
          <w:szCs w:val="21"/>
        </w:rPr>
      </w:pPr>
      <w:r w:rsidRPr="00C85109">
        <w:rPr>
          <w:rFonts w:asciiTheme="minorHAnsi" w:hAnsiTheme="minorHAnsi" w:cstheme="minorHAnsi"/>
          <w:szCs w:val="21"/>
        </w:rPr>
        <w:t xml:space="preserve">Segregated employment settings such as ADEs have traditionally not had good outcomes as a pathway to open </w:t>
      </w:r>
      <w:proofErr w:type="gramStart"/>
      <w:r w:rsidRPr="00C85109">
        <w:rPr>
          <w:rFonts w:asciiTheme="minorHAnsi" w:hAnsiTheme="minorHAnsi" w:cstheme="minorHAnsi"/>
          <w:szCs w:val="21"/>
        </w:rPr>
        <w:t>employment, and</w:t>
      </w:r>
      <w:proofErr w:type="gramEnd"/>
      <w:r w:rsidRPr="00C85109">
        <w:rPr>
          <w:rFonts w:asciiTheme="minorHAnsi" w:hAnsiTheme="minorHAnsi" w:cstheme="minorHAnsi"/>
          <w:szCs w:val="21"/>
        </w:rPr>
        <w:t xml:space="preserve"> were not initially designed for this purpose. Indeed, previously, the procedures governing Disability Employment Services (DES) prevented them from supporting ADE employees to find work in open employment, though these have now been changed (Meltzer et al., 2016). </w:t>
      </w:r>
    </w:p>
    <w:p w14:paraId="24AC1A46" w14:textId="496E0106" w:rsidR="00E35816" w:rsidRPr="00C85109" w:rsidRDefault="00E35816" w:rsidP="00C85109">
      <w:pPr>
        <w:spacing w:line="276" w:lineRule="auto"/>
        <w:rPr>
          <w:rFonts w:asciiTheme="minorHAnsi" w:hAnsiTheme="minorHAnsi" w:cstheme="minorHAnsi"/>
          <w:szCs w:val="21"/>
        </w:rPr>
      </w:pPr>
      <w:r w:rsidRPr="00C85109">
        <w:rPr>
          <w:rFonts w:asciiTheme="minorHAnsi" w:hAnsiTheme="minorHAnsi" w:cstheme="minorHAnsi"/>
          <w:szCs w:val="21"/>
        </w:rPr>
        <w:t xml:space="preserve">There is evidence that early placement of young people with intellectual disability into segregated day programs and sheltered employment options reduces their later economic participation (Cocks &amp; Harvey, 2008). There is strong evidence that once in segregated employment settings, such as ADEs, few transition out into open employment. In 2014, less than 1% of those employed in an ADE transitioned to employment in the mainstream </w:t>
      </w:r>
      <w:proofErr w:type="spellStart"/>
      <w:r w:rsidRPr="00C85109">
        <w:rPr>
          <w:rFonts w:asciiTheme="minorHAnsi" w:hAnsiTheme="minorHAnsi" w:cstheme="minorHAnsi"/>
          <w:szCs w:val="21"/>
        </w:rPr>
        <w:t>labour</w:t>
      </w:r>
      <w:proofErr w:type="spellEnd"/>
      <w:r w:rsidRPr="00C85109">
        <w:rPr>
          <w:rFonts w:asciiTheme="minorHAnsi" w:hAnsiTheme="minorHAnsi" w:cstheme="minorHAnsi"/>
          <w:szCs w:val="21"/>
        </w:rPr>
        <w:t xml:space="preserve"> market (</w:t>
      </w:r>
      <w:r w:rsidR="000531D9" w:rsidRPr="00C85109">
        <w:rPr>
          <w:rFonts w:asciiTheme="minorHAnsi" w:hAnsiTheme="minorHAnsi" w:cstheme="minorHAnsi"/>
          <w:szCs w:val="21"/>
        </w:rPr>
        <w:t>Department of Social Services</w:t>
      </w:r>
      <w:r w:rsidRPr="00C85109">
        <w:rPr>
          <w:rFonts w:asciiTheme="minorHAnsi" w:hAnsiTheme="minorHAnsi" w:cstheme="minorHAnsi"/>
          <w:szCs w:val="21"/>
        </w:rPr>
        <w:t>, 2015; AFDO, 2018). Similarly, the National Disability Services suggests that less than 5% of people with disability transition to open employment from day services or supported employment settings in Australia (NDS, 2017).</w:t>
      </w:r>
    </w:p>
    <w:p w14:paraId="7978A59A" w14:textId="2D5C055B" w:rsidR="00E35816" w:rsidRPr="00C85109" w:rsidRDefault="00E35816" w:rsidP="00C85109">
      <w:pPr>
        <w:spacing w:line="276" w:lineRule="auto"/>
        <w:rPr>
          <w:rFonts w:asciiTheme="minorHAnsi" w:hAnsiTheme="minorHAnsi" w:cstheme="minorHAnsi"/>
          <w:szCs w:val="21"/>
        </w:rPr>
      </w:pPr>
      <w:r w:rsidRPr="00C85109">
        <w:rPr>
          <w:rFonts w:asciiTheme="minorHAnsi" w:hAnsiTheme="minorHAnsi" w:cstheme="minorHAnsi"/>
          <w:szCs w:val="21"/>
        </w:rPr>
        <w:t>Some studies have demonstrated that there are few structured skill development opportunities within sheltered and segregated employment settings and that time spent working in such settings does not promote later employment in open employment (</w:t>
      </w:r>
      <w:proofErr w:type="spellStart"/>
      <w:r w:rsidRPr="00C85109">
        <w:rPr>
          <w:rFonts w:asciiTheme="minorHAnsi" w:hAnsiTheme="minorHAnsi" w:cstheme="minorHAnsi"/>
          <w:szCs w:val="21"/>
        </w:rPr>
        <w:t>Akkerman</w:t>
      </w:r>
      <w:proofErr w:type="spellEnd"/>
      <w:r w:rsidRPr="00C85109">
        <w:rPr>
          <w:rFonts w:asciiTheme="minorHAnsi" w:hAnsiTheme="minorHAnsi" w:cstheme="minorHAnsi"/>
          <w:szCs w:val="21"/>
        </w:rPr>
        <w:t xml:space="preserve"> et al., 2016; </w:t>
      </w:r>
      <w:proofErr w:type="spellStart"/>
      <w:r w:rsidRPr="00C85109">
        <w:rPr>
          <w:rFonts w:asciiTheme="minorHAnsi" w:hAnsiTheme="minorHAnsi" w:cstheme="minorHAnsi"/>
          <w:szCs w:val="21"/>
        </w:rPr>
        <w:t>Cimera</w:t>
      </w:r>
      <w:proofErr w:type="spellEnd"/>
      <w:r w:rsidR="00FC0BE7" w:rsidRPr="00C85109">
        <w:rPr>
          <w:rFonts w:asciiTheme="minorHAnsi" w:hAnsiTheme="minorHAnsi" w:cstheme="minorHAnsi"/>
          <w:szCs w:val="21"/>
        </w:rPr>
        <w:t xml:space="preserve"> et al.</w:t>
      </w:r>
      <w:r w:rsidRPr="00C85109">
        <w:rPr>
          <w:rFonts w:asciiTheme="minorHAnsi" w:hAnsiTheme="minorHAnsi" w:cstheme="minorHAnsi"/>
          <w:szCs w:val="21"/>
        </w:rPr>
        <w:t xml:space="preserve">, 2011; </w:t>
      </w:r>
      <w:proofErr w:type="spellStart"/>
      <w:r w:rsidRPr="00C85109">
        <w:rPr>
          <w:rFonts w:asciiTheme="minorHAnsi" w:hAnsiTheme="minorHAnsi" w:cstheme="minorHAnsi"/>
          <w:szCs w:val="21"/>
        </w:rPr>
        <w:t>Dague</w:t>
      </w:r>
      <w:proofErr w:type="spellEnd"/>
      <w:r w:rsidRPr="00C85109">
        <w:rPr>
          <w:rFonts w:asciiTheme="minorHAnsi" w:hAnsiTheme="minorHAnsi" w:cstheme="minorHAnsi"/>
          <w:szCs w:val="21"/>
        </w:rPr>
        <w:t xml:space="preserve">, 2012; Hemphill &amp; Kulik, 2017; </w:t>
      </w:r>
      <w:proofErr w:type="spellStart"/>
      <w:r w:rsidRPr="00C85109">
        <w:rPr>
          <w:rFonts w:asciiTheme="minorHAnsi" w:hAnsiTheme="minorHAnsi" w:cstheme="minorHAnsi"/>
          <w:szCs w:val="21"/>
        </w:rPr>
        <w:t>Soeker</w:t>
      </w:r>
      <w:proofErr w:type="spellEnd"/>
      <w:r w:rsidRPr="00C85109">
        <w:rPr>
          <w:rFonts w:asciiTheme="minorHAnsi" w:hAnsiTheme="minorHAnsi" w:cstheme="minorHAnsi"/>
          <w:szCs w:val="21"/>
        </w:rPr>
        <w:t xml:space="preserve"> et al., 2018). Similar issues have been found with day services or community access programs (</w:t>
      </w:r>
      <w:proofErr w:type="spellStart"/>
      <w:r w:rsidRPr="00C85109">
        <w:rPr>
          <w:rFonts w:asciiTheme="minorHAnsi" w:hAnsiTheme="minorHAnsi" w:cstheme="minorHAnsi"/>
          <w:szCs w:val="21"/>
        </w:rPr>
        <w:t>Thoresen</w:t>
      </w:r>
      <w:proofErr w:type="spellEnd"/>
      <w:r w:rsidRPr="00C85109">
        <w:rPr>
          <w:rFonts w:asciiTheme="minorHAnsi" w:hAnsiTheme="minorHAnsi" w:cstheme="minorHAnsi"/>
          <w:szCs w:val="21"/>
        </w:rPr>
        <w:t xml:space="preserve"> et al., 2018). </w:t>
      </w:r>
    </w:p>
    <w:p w14:paraId="2475EB4D" w14:textId="77777777" w:rsidR="00E35816" w:rsidRPr="00C85109" w:rsidRDefault="00E35816" w:rsidP="00C85109">
      <w:pPr>
        <w:spacing w:line="276" w:lineRule="auto"/>
        <w:rPr>
          <w:rFonts w:asciiTheme="minorHAnsi" w:hAnsiTheme="minorHAnsi" w:cstheme="minorHAnsi"/>
          <w:szCs w:val="21"/>
        </w:rPr>
      </w:pPr>
      <w:r w:rsidRPr="00C85109">
        <w:rPr>
          <w:rFonts w:asciiTheme="minorHAnsi" w:hAnsiTheme="minorHAnsi" w:cstheme="minorHAnsi"/>
          <w:szCs w:val="21"/>
        </w:rPr>
        <w:t>However, there is evidence that some people with intellectual disability have been supported via their ADE employers to transition into open employment (Meltzer et al., 2016). An Australian study found that ADEs did frequently offer opportunities for vocational training as part of employment, but that skill development opportunities in mainstream settings were more available in open employment (Meltzer et al., 2016).</w:t>
      </w:r>
    </w:p>
    <w:p w14:paraId="5AD0A13E" w14:textId="77777777" w:rsidR="00E35816" w:rsidRPr="00C85109" w:rsidRDefault="00E35816" w:rsidP="00C85109">
      <w:pPr>
        <w:pStyle w:val="Heading2"/>
      </w:pPr>
      <w:bookmarkStart w:id="162" w:name="_Toc49417773"/>
      <w:bookmarkStart w:id="163" w:name="_Toc49417977"/>
      <w:r w:rsidRPr="00C85109">
        <w:t>The solution</w:t>
      </w:r>
      <w:bookmarkEnd w:id="162"/>
      <w:bookmarkEnd w:id="163"/>
    </w:p>
    <w:p w14:paraId="10C6B12D" w14:textId="055C88F8" w:rsidR="00E35816" w:rsidRPr="00C85109" w:rsidRDefault="00E35816" w:rsidP="00C85109">
      <w:pPr>
        <w:autoSpaceDE w:val="0"/>
        <w:autoSpaceDN w:val="0"/>
        <w:adjustRightInd w:val="0"/>
        <w:spacing w:line="276" w:lineRule="auto"/>
        <w:rPr>
          <w:rFonts w:asciiTheme="minorHAnsi" w:hAnsiTheme="minorHAnsi" w:cstheme="minorHAnsi"/>
          <w:szCs w:val="21"/>
        </w:rPr>
      </w:pPr>
      <w:r w:rsidRPr="00C85109">
        <w:rPr>
          <w:rFonts w:asciiTheme="minorHAnsi" w:hAnsiTheme="minorHAnsi" w:cstheme="minorHAnsi"/>
          <w:szCs w:val="21"/>
        </w:rPr>
        <w:t xml:space="preserve">A suite of research in the United States has highlighted the importance of a system-wide </w:t>
      </w:r>
      <w:proofErr w:type="spellStart"/>
      <w:r w:rsidRPr="00C85109">
        <w:rPr>
          <w:rFonts w:asciiTheme="minorHAnsi" w:hAnsiTheme="minorHAnsi" w:cstheme="minorHAnsi"/>
          <w:szCs w:val="21"/>
        </w:rPr>
        <w:t>prioriti</w:t>
      </w:r>
      <w:r w:rsidR="00C62D3C" w:rsidRPr="00C85109">
        <w:rPr>
          <w:rFonts w:asciiTheme="minorHAnsi" w:hAnsiTheme="minorHAnsi" w:cstheme="minorHAnsi"/>
          <w:szCs w:val="21"/>
        </w:rPr>
        <w:t>s</w:t>
      </w:r>
      <w:r w:rsidRPr="00C85109">
        <w:rPr>
          <w:rFonts w:asciiTheme="minorHAnsi" w:hAnsiTheme="minorHAnsi" w:cstheme="minorHAnsi"/>
          <w:szCs w:val="21"/>
        </w:rPr>
        <w:t>ation</w:t>
      </w:r>
      <w:proofErr w:type="spellEnd"/>
      <w:r w:rsidRPr="00C85109">
        <w:rPr>
          <w:rFonts w:asciiTheme="minorHAnsi" w:hAnsiTheme="minorHAnsi" w:cstheme="minorHAnsi"/>
          <w:szCs w:val="21"/>
        </w:rPr>
        <w:t xml:space="preserve"> of employment as a primary outcome for adults with intellectual disability, which then fosters a consistent set of expectations and supports across services, families and individuals (Hall et al., 2018).</w:t>
      </w:r>
    </w:p>
    <w:p w14:paraId="3187C32C" w14:textId="77777777" w:rsidR="00E35816" w:rsidRPr="00C85109" w:rsidRDefault="00E35816" w:rsidP="00C85109">
      <w:pPr>
        <w:autoSpaceDE w:val="0"/>
        <w:autoSpaceDN w:val="0"/>
        <w:adjustRightInd w:val="0"/>
        <w:spacing w:line="276" w:lineRule="auto"/>
        <w:rPr>
          <w:rFonts w:asciiTheme="minorHAnsi" w:hAnsiTheme="minorHAnsi" w:cstheme="minorHAnsi"/>
          <w:szCs w:val="21"/>
        </w:rPr>
      </w:pPr>
      <w:r w:rsidRPr="00C85109">
        <w:rPr>
          <w:rFonts w:asciiTheme="minorHAnsi" w:hAnsiTheme="minorHAnsi" w:cstheme="minorHAnsi"/>
          <w:szCs w:val="21"/>
        </w:rPr>
        <w:t xml:space="preserve">Moving into open employment can occur from any location and is aided by a set of supportive practices (which research has also identified as being often present in social enterprises) </w:t>
      </w:r>
      <w:r w:rsidRPr="00C85109">
        <w:rPr>
          <w:rFonts w:asciiTheme="minorHAnsi" w:eastAsia="MS PGothic" w:hAnsiTheme="minorHAnsi" w:cstheme="minorHAnsi"/>
          <w:szCs w:val="21"/>
        </w:rPr>
        <w:t>(Smith, McVilly, McGillivray, &amp; Chan, 2018)</w:t>
      </w:r>
      <w:r w:rsidRPr="00C85109">
        <w:rPr>
          <w:rFonts w:asciiTheme="minorHAnsi" w:hAnsiTheme="minorHAnsi" w:cstheme="minorHAnsi"/>
          <w:szCs w:val="21"/>
        </w:rPr>
        <w:t>. Ways to support people with intellectual disability to move out of segregated employment or day service settings and into open employment include:</w:t>
      </w:r>
    </w:p>
    <w:p w14:paraId="40572ED3" w14:textId="0749C8BA" w:rsidR="00E35816" w:rsidRPr="00C85109" w:rsidRDefault="00E35816" w:rsidP="00C85109">
      <w:pPr>
        <w:pStyle w:val="ListParagraph"/>
        <w:numPr>
          <w:ilvl w:val="0"/>
          <w:numId w:val="70"/>
        </w:numPr>
        <w:autoSpaceDE w:val="0"/>
        <w:autoSpaceDN w:val="0"/>
        <w:adjustRightInd w:val="0"/>
        <w:snapToGrid w:val="0"/>
        <w:spacing w:line="276" w:lineRule="auto"/>
        <w:rPr>
          <w:rFonts w:asciiTheme="minorHAnsi" w:hAnsiTheme="minorHAnsi" w:cstheme="minorHAnsi"/>
          <w:szCs w:val="21"/>
        </w:rPr>
      </w:pPr>
      <w:r w:rsidRPr="00C85109">
        <w:rPr>
          <w:rFonts w:asciiTheme="minorHAnsi" w:eastAsia="MS PGothic" w:hAnsiTheme="minorHAnsi" w:cstheme="minorHAnsi"/>
          <w:szCs w:val="21"/>
        </w:rPr>
        <w:t xml:space="preserve">Focus on the vocational aspirations and the potential strengths of people with disability, based on what people with disability want (Smith, McVilly, McGillivray, &amp; Chan, 2018; </w:t>
      </w:r>
      <w:proofErr w:type="spellStart"/>
      <w:r w:rsidRPr="00C85109">
        <w:rPr>
          <w:rFonts w:asciiTheme="minorHAnsi" w:eastAsia="MS PGothic" w:hAnsiTheme="minorHAnsi" w:cstheme="minorHAnsi"/>
          <w:szCs w:val="21"/>
        </w:rPr>
        <w:t>Soeker</w:t>
      </w:r>
      <w:proofErr w:type="spellEnd"/>
      <w:r w:rsidRPr="00C85109">
        <w:rPr>
          <w:rFonts w:asciiTheme="minorHAnsi" w:eastAsia="MS PGothic" w:hAnsiTheme="minorHAnsi" w:cstheme="minorHAnsi"/>
          <w:szCs w:val="21"/>
        </w:rPr>
        <w:t xml:space="preserve"> et al.</w:t>
      </w:r>
      <w:r w:rsidR="00D722AC" w:rsidRPr="00C85109">
        <w:rPr>
          <w:rFonts w:asciiTheme="minorHAnsi" w:eastAsia="MS PGothic" w:hAnsiTheme="minorHAnsi" w:cstheme="minorHAnsi"/>
          <w:szCs w:val="21"/>
        </w:rPr>
        <w:t>,</w:t>
      </w:r>
      <w:r w:rsidRPr="00C85109">
        <w:rPr>
          <w:rFonts w:asciiTheme="minorHAnsi" w:eastAsia="MS PGothic" w:hAnsiTheme="minorHAnsi" w:cstheme="minorHAnsi"/>
          <w:szCs w:val="21"/>
        </w:rPr>
        <w:t xml:space="preserve"> 2018). This might </w:t>
      </w:r>
      <w:proofErr w:type="spellStart"/>
      <w:r w:rsidRPr="00C85109">
        <w:rPr>
          <w:rFonts w:asciiTheme="minorHAnsi" w:eastAsia="MS PGothic" w:hAnsiTheme="minorHAnsi" w:cstheme="minorHAnsi"/>
          <w:szCs w:val="21"/>
        </w:rPr>
        <w:t>utili</w:t>
      </w:r>
      <w:r w:rsidR="00C62D3C" w:rsidRPr="00C85109">
        <w:rPr>
          <w:rFonts w:asciiTheme="minorHAnsi" w:eastAsia="MS PGothic" w:hAnsiTheme="minorHAnsi" w:cstheme="minorHAnsi"/>
          <w:szCs w:val="21"/>
        </w:rPr>
        <w:t>s</w:t>
      </w:r>
      <w:r w:rsidRPr="00C85109">
        <w:rPr>
          <w:rFonts w:asciiTheme="minorHAnsi" w:eastAsia="MS PGothic" w:hAnsiTheme="minorHAnsi" w:cstheme="minorHAnsi"/>
          <w:szCs w:val="21"/>
        </w:rPr>
        <w:t>e</w:t>
      </w:r>
      <w:proofErr w:type="spellEnd"/>
      <w:r w:rsidRPr="00C85109">
        <w:rPr>
          <w:rFonts w:asciiTheme="minorHAnsi" w:eastAsia="MS PGothic" w:hAnsiTheme="minorHAnsi" w:cstheme="minorHAnsi"/>
          <w:szCs w:val="21"/>
        </w:rPr>
        <w:t xml:space="preserve"> a Discovery approach that is an in-depth exploration of the interests and capabilities of the job seeker with disability. This process is based on building trust and getting to know </w:t>
      </w:r>
      <w:proofErr w:type="gramStart"/>
      <w:r w:rsidRPr="00C85109">
        <w:rPr>
          <w:rFonts w:asciiTheme="minorHAnsi" w:eastAsia="MS PGothic" w:hAnsiTheme="minorHAnsi" w:cstheme="minorHAnsi"/>
          <w:szCs w:val="21"/>
        </w:rPr>
        <w:t>job-seekers</w:t>
      </w:r>
      <w:proofErr w:type="gramEnd"/>
      <w:r w:rsidRPr="00C85109">
        <w:rPr>
          <w:rFonts w:asciiTheme="minorHAnsi" w:eastAsia="MS PGothic" w:hAnsiTheme="minorHAnsi" w:cstheme="minorHAnsi"/>
          <w:szCs w:val="21"/>
        </w:rPr>
        <w:t xml:space="preserve"> with intellectual disability (Hall et al.</w:t>
      </w:r>
      <w:r w:rsidR="000F121B" w:rsidRPr="00C85109">
        <w:rPr>
          <w:rFonts w:asciiTheme="minorHAnsi" w:eastAsia="MS PGothic" w:hAnsiTheme="minorHAnsi" w:cstheme="minorHAnsi"/>
          <w:szCs w:val="21"/>
        </w:rPr>
        <w:t>,</w:t>
      </w:r>
      <w:r w:rsidRPr="00C85109">
        <w:rPr>
          <w:rFonts w:asciiTheme="minorHAnsi" w:eastAsia="MS PGothic" w:hAnsiTheme="minorHAnsi" w:cstheme="minorHAnsi"/>
          <w:szCs w:val="21"/>
        </w:rPr>
        <w:t xml:space="preserve"> 2018).</w:t>
      </w:r>
    </w:p>
    <w:p w14:paraId="6BAC2533" w14:textId="77777777" w:rsidR="00E35816" w:rsidRPr="00C85109" w:rsidRDefault="00E35816" w:rsidP="00C85109">
      <w:pPr>
        <w:pStyle w:val="ListParagraph"/>
        <w:numPr>
          <w:ilvl w:val="0"/>
          <w:numId w:val="68"/>
        </w:numPr>
        <w:autoSpaceDE w:val="0"/>
        <w:autoSpaceDN w:val="0"/>
        <w:adjustRightInd w:val="0"/>
        <w:spacing w:line="276" w:lineRule="auto"/>
        <w:rPr>
          <w:rFonts w:asciiTheme="minorHAnsi" w:eastAsia="MS PGothic" w:hAnsiTheme="minorHAnsi" w:cstheme="minorHAnsi"/>
          <w:szCs w:val="21"/>
        </w:rPr>
      </w:pPr>
      <w:r w:rsidRPr="00C85109">
        <w:rPr>
          <w:rFonts w:asciiTheme="minorHAnsi" w:eastAsia="MS PGothic" w:hAnsiTheme="minorHAnsi" w:cstheme="minorHAnsi"/>
          <w:szCs w:val="21"/>
        </w:rPr>
        <w:t xml:space="preserve">Provide opportunities to explore and move to, and between, higher skilled and better paid work (Smith, McVilly, McGillivray, &amp; Chan, 2018). </w:t>
      </w:r>
    </w:p>
    <w:p w14:paraId="461BF97B" w14:textId="77777777" w:rsidR="00E35816" w:rsidRPr="00C85109" w:rsidRDefault="00E35816" w:rsidP="00C85109">
      <w:pPr>
        <w:pStyle w:val="ListParagraph"/>
        <w:numPr>
          <w:ilvl w:val="0"/>
          <w:numId w:val="68"/>
        </w:numPr>
        <w:autoSpaceDE w:val="0"/>
        <w:autoSpaceDN w:val="0"/>
        <w:adjustRightInd w:val="0"/>
        <w:spacing w:line="276" w:lineRule="auto"/>
        <w:rPr>
          <w:rFonts w:asciiTheme="minorHAnsi" w:eastAsia="MS PGothic" w:hAnsiTheme="minorHAnsi" w:cstheme="minorHAnsi"/>
          <w:szCs w:val="21"/>
        </w:rPr>
      </w:pPr>
      <w:r w:rsidRPr="00C85109">
        <w:rPr>
          <w:rFonts w:asciiTheme="minorHAnsi" w:eastAsia="MS PGothic" w:hAnsiTheme="minorHAnsi" w:cstheme="minorHAnsi"/>
          <w:szCs w:val="21"/>
        </w:rPr>
        <w:lastRenderedPageBreak/>
        <w:t>Provide opportunities to explore vocational options, including those that have a relatively higher social value/status than those commonly inherent in ADEs (Smith, McVilly, McGillivray, &amp; Chan, 2018). Expanding options can include looking for task and interest matches with employers, rather than waiting on job openings (Hall et al., 2018).</w:t>
      </w:r>
    </w:p>
    <w:p w14:paraId="3A3EC983" w14:textId="77777777" w:rsidR="00E35816" w:rsidRPr="00C85109" w:rsidRDefault="00E35816" w:rsidP="00C85109">
      <w:pPr>
        <w:pStyle w:val="ListParagraph"/>
        <w:numPr>
          <w:ilvl w:val="0"/>
          <w:numId w:val="68"/>
        </w:numPr>
        <w:autoSpaceDE w:val="0"/>
        <w:autoSpaceDN w:val="0"/>
        <w:adjustRightInd w:val="0"/>
        <w:spacing w:line="276" w:lineRule="auto"/>
        <w:rPr>
          <w:rFonts w:asciiTheme="minorHAnsi" w:eastAsia="MS PGothic" w:hAnsiTheme="minorHAnsi" w:cstheme="minorHAnsi"/>
          <w:szCs w:val="21"/>
        </w:rPr>
      </w:pPr>
      <w:r w:rsidRPr="00C85109">
        <w:rPr>
          <w:rFonts w:asciiTheme="minorHAnsi" w:eastAsia="MS PGothic" w:hAnsiTheme="minorHAnsi" w:cstheme="minorHAnsi"/>
          <w:szCs w:val="21"/>
        </w:rPr>
        <w:t>Make available work tasks that foster skills development relevant to open employment (</w:t>
      </w:r>
      <w:proofErr w:type="spellStart"/>
      <w:r w:rsidRPr="00C85109">
        <w:rPr>
          <w:rFonts w:asciiTheme="minorHAnsi" w:eastAsia="MS PGothic" w:hAnsiTheme="minorHAnsi" w:cstheme="minorHAnsi"/>
          <w:szCs w:val="21"/>
        </w:rPr>
        <w:t>Soeker</w:t>
      </w:r>
      <w:proofErr w:type="spellEnd"/>
      <w:r w:rsidRPr="00C85109">
        <w:rPr>
          <w:rFonts w:asciiTheme="minorHAnsi" w:eastAsia="MS PGothic" w:hAnsiTheme="minorHAnsi" w:cstheme="minorHAnsi"/>
          <w:szCs w:val="21"/>
        </w:rPr>
        <w:t xml:space="preserve"> et al., 2018).</w:t>
      </w:r>
    </w:p>
    <w:p w14:paraId="15C57AAA" w14:textId="77777777" w:rsidR="00E35816" w:rsidRPr="00C85109" w:rsidRDefault="00E35816" w:rsidP="00C85109">
      <w:pPr>
        <w:pStyle w:val="ListParagraph"/>
        <w:numPr>
          <w:ilvl w:val="0"/>
          <w:numId w:val="68"/>
        </w:numPr>
        <w:autoSpaceDE w:val="0"/>
        <w:autoSpaceDN w:val="0"/>
        <w:adjustRightInd w:val="0"/>
        <w:spacing w:line="276" w:lineRule="auto"/>
        <w:rPr>
          <w:rFonts w:asciiTheme="minorHAnsi" w:eastAsia="MS PGothic" w:hAnsiTheme="minorHAnsi" w:cstheme="minorHAnsi"/>
          <w:szCs w:val="21"/>
        </w:rPr>
      </w:pPr>
      <w:r w:rsidRPr="00C85109">
        <w:rPr>
          <w:rFonts w:asciiTheme="minorHAnsi" w:eastAsia="MS PGothic" w:hAnsiTheme="minorHAnsi" w:cstheme="minorHAnsi"/>
          <w:szCs w:val="21"/>
        </w:rPr>
        <w:t>Support development of relevant social skills including spending time planning for transportation to and from work (Hall et al., 2018).</w:t>
      </w:r>
    </w:p>
    <w:p w14:paraId="53FF7797" w14:textId="77777777" w:rsidR="00E35816" w:rsidRPr="00C85109" w:rsidRDefault="00E35816" w:rsidP="00C85109">
      <w:pPr>
        <w:pStyle w:val="ListParagraph"/>
        <w:numPr>
          <w:ilvl w:val="0"/>
          <w:numId w:val="68"/>
        </w:numPr>
        <w:autoSpaceDE w:val="0"/>
        <w:autoSpaceDN w:val="0"/>
        <w:adjustRightInd w:val="0"/>
        <w:spacing w:line="276" w:lineRule="auto"/>
        <w:rPr>
          <w:rFonts w:asciiTheme="minorHAnsi" w:eastAsia="MS PGothic" w:hAnsiTheme="minorHAnsi" w:cstheme="minorHAnsi"/>
          <w:szCs w:val="21"/>
        </w:rPr>
      </w:pPr>
      <w:r w:rsidRPr="00C85109">
        <w:rPr>
          <w:rFonts w:asciiTheme="minorHAnsi" w:eastAsia="MS PGothic" w:hAnsiTheme="minorHAnsi" w:cstheme="minorHAnsi"/>
          <w:szCs w:val="21"/>
        </w:rPr>
        <w:t xml:space="preserve">Plan the supports that will be needed in the workplace, such as communication and technology </w:t>
      </w:r>
      <w:proofErr w:type="gramStart"/>
      <w:r w:rsidRPr="00C85109">
        <w:rPr>
          <w:rFonts w:asciiTheme="minorHAnsi" w:eastAsia="MS PGothic" w:hAnsiTheme="minorHAnsi" w:cstheme="minorHAnsi"/>
          <w:szCs w:val="21"/>
        </w:rPr>
        <w:t>supports</w:t>
      </w:r>
      <w:proofErr w:type="gramEnd"/>
      <w:r w:rsidRPr="00C85109">
        <w:rPr>
          <w:rFonts w:asciiTheme="minorHAnsi" w:eastAsia="MS PGothic" w:hAnsiTheme="minorHAnsi" w:cstheme="minorHAnsi"/>
          <w:szCs w:val="21"/>
        </w:rPr>
        <w:t xml:space="preserve"> (Hall et al., 2018).</w:t>
      </w:r>
    </w:p>
    <w:p w14:paraId="0A9BBFAA" w14:textId="1FD3D90A" w:rsidR="00E35816" w:rsidRPr="00C85109" w:rsidRDefault="00E35816" w:rsidP="00C85109">
      <w:pPr>
        <w:pStyle w:val="ListParagraph"/>
        <w:numPr>
          <w:ilvl w:val="0"/>
          <w:numId w:val="68"/>
        </w:numPr>
        <w:autoSpaceDE w:val="0"/>
        <w:autoSpaceDN w:val="0"/>
        <w:adjustRightInd w:val="0"/>
        <w:snapToGrid w:val="0"/>
        <w:spacing w:line="276" w:lineRule="auto"/>
        <w:rPr>
          <w:rFonts w:asciiTheme="minorHAnsi" w:hAnsiTheme="minorHAnsi" w:cstheme="minorHAnsi"/>
          <w:szCs w:val="21"/>
        </w:rPr>
      </w:pPr>
      <w:proofErr w:type="spellStart"/>
      <w:r w:rsidRPr="00C85109">
        <w:rPr>
          <w:rFonts w:asciiTheme="minorHAnsi" w:hAnsiTheme="minorHAnsi" w:cstheme="minorHAnsi"/>
          <w:szCs w:val="21"/>
        </w:rPr>
        <w:t>Utilise</w:t>
      </w:r>
      <w:proofErr w:type="spellEnd"/>
      <w:r w:rsidRPr="00C85109">
        <w:rPr>
          <w:rFonts w:asciiTheme="minorHAnsi" w:hAnsiTheme="minorHAnsi" w:cstheme="minorHAnsi"/>
          <w:szCs w:val="21"/>
        </w:rPr>
        <w:t xml:space="preserve"> </w:t>
      </w:r>
      <w:proofErr w:type="spellStart"/>
      <w:r w:rsidRPr="00C85109">
        <w:rPr>
          <w:rFonts w:asciiTheme="minorHAnsi" w:hAnsiTheme="minorHAnsi" w:cstheme="minorHAnsi"/>
          <w:szCs w:val="21"/>
        </w:rPr>
        <w:t>individuali</w:t>
      </w:r>
      <w:r w:rsidR="00C62D3C" w:rsidRPr="00C85109">
        <w:rPr>
          <w:rFonts w:asciiTheme="minorHAnsi" w:hAnsiTheme="minorHAnsi" w:cstheme="minorHAnsi"/>
          <w:szCs w:val="21"/>
        </w:rPr>
        <w:t>s</w:t>
      </w:r>
      <w:r w:rsidRPr="00C85109">
        <w:rPr>
          <w:rFonts w:asciiTheme="minorHAnsi" w:hAnsiTheme="minorHAnsi" w:cstheme="minorHAnsi"/>
          <w:szCs w:val="21"/>
        </w:rPr>
        <w:t>ed</w:t>
      </w:r>
      <w:proofErr w:type="spellEnd"/>
      <w:r w:rsidRPr="00C85109">
        <w:rPr>
          <w:rFonts w:asciiTheme="minorHAnsi" w:hAnsiTheme="minorHAnsi" w:cstheme="minorHAnsi"/>
          <w:szCs w:val="21"/>
        </w:rPr>
        <w:t xml:space="preserve"> and tailored person </w:t>
      </w:r>
      <w:proofErr w:type="spellStart"/>
      <w:r w:rsidRPr="00C85109">
        <w:rPr>
          <w:rFonts w:asciiTheme="minorHAnsi" w:hAnsiTheme="minorHAnsi" w:cstheme="minorHAnsi"/>
          <w:szCs w:val="21"/>
        </w:rPr>
        <w:t>centred</w:t>
      </w:r>
      <w:proofErr w:type="spellEnd"/>
      <w:r w:rsidRPr="00C85109">
        <w:rPr>
          <w:rFonts w:asciiTheme="minorHAnsi" w:hAnsiTheme="minorHAnsi" w:cstheme="minorHAnsi"/>
          <w:szCs w:val="21"/>
        </w:rPr>
        <w:t xml:space="preserve"> approaches including </w:t>
      </w:r>
      <w:proofErr w:type="spellStart"/>
      <w:r w:rsidRPr="00C85109">
        <w:rPr>
          <w:rFonts w:asciiTheme="minorHAnsi" w:hAnsiTheme="minorHAnsi" w:cstheme="minorHAnsi"/>
          <w:szCs w:val="21"/>
        </w:rPr>
        <w:t>Customised</w:t>
      </w:r>
      <w:proofErr w:type="spellEnd"/>
      <w:r w:rsidRPr="00C85109">
        <w:rPr>
          <w:rFonts w:asciiTheme="minorHAnsi" w:hAnsiTheme="minorHAnsi" w:cstheme="minorHAnsi"/>
          <w:szCs w:val="21"/>
        </w:rPr>
        <w:t xml:space="preserve"> Employment practices, within ADEs and day services (Smith, McVilly, McGillivray, &amp; Chan, 2018; </w:t>
      </w:r>
      <w:proofErr w:type="spellStart"/>
      <w:r w:rsidRPr="00C85109">
        <w:rPr>
          <w:rFonts w:asciiTheme="minorHAnsi" w:hAnsiTheme="minorHAnsi" w:cstheme="minorHAnsi"/>
          <w:szCs w:val="21"/>
        </w:rPr>
        <w:t>Thoresen</w:t>
      </w:r>
      <w:proofErr w:type="spellEnd"/>
      <w:r w:rsidRPr="00C85109">
        <w:rPr>
          <w:rFonts w:asciiTheme="minorHAnsi" w:hAnsiTheme="minorHAnsi" w:cstheme="minorHAnsi"/>
          <w:szCs w:val="21"/>
        </w:rPr>
        <w:t xml:space="preserve"> et al.</w:t>
      </w:r>
      <w:r w:rsidR="00065F25" w:rsidRPr="00C85109">
        <w:rPr>
          <w:rFonts w:asciiTheme="minorHAnsi" w:hAnsiTheme="minorHAnsi" w:cstheme="minorHAnsi"/>
          <w:szCs w:val="21"/>
        </w:rPr>
        <w:t>,</w:t>
      </w:r>
      <w:r w:rsidRPr="00C85109">
        <w:rPr>
          <w:rFonts w:asciiTheme="minorHAnsi" w:hAnsiTheme="minorHAnsi" w:cstheme="minorHAnsi"/>
          <w:szCs w:val="21"/>
        </w:rPr>
        <w:t xml:space="preserve"> 2018). </w:t>
      </w:r>
    </w:p>
    <w:p w14:paraId="14148E23" w14:textId="2B6F5E3C" w:rsidR="00E35816" w:rsidRPr="00C85109" w:rsidRDefault="00E35816" w:rsidP="00C85109">
      <w:pPr>
        <w:pStyle w:val="ListParagraph"/>
        <w:numPr>
          <w:ilvl w:val="0"/>
          <w:numId w:val="68"/>
        </w:numPr>
        <w:autoSpaceDE w:val="0"/>
        <w:autoSpaceDN w:val="0"/>
        <w:adjustRightInd w:val="0"/>
        <w:snapToGrid w:val="0"/>
        <w:spacing w:line="276" w:lineRule="auto"/>
        <w:rPr>
          <w:rFonts w:asciiTheme="minorHAnsi" w:hAnsiTheme="minorHAnsi" w:cstheme="minorHAnsi"/>
          <w:szCs w:val="21"/>
        </w:rPr>
      </w:pPr>
      <w:proofErr w:type="spellStart"/>
      <w:r w:rsidRPr="00C85109">
        <w:rPr>
          <w:rFonts w:asciiTheme="minorHAnsi" w:hAnsiTheme="minorHAnsi" w:cstheme="minorHAnsi"/>
          <w:szCs w:val="21"/>
        </w:rPr>
        <w:t>Utilise</w:t>
      </w:r>
      <w:proofErr w:type="spellEnd"/>
      <w:r w:rsidRPr="00C85109">
        <w:rPr>
          <w:rFonts w:asciiTheme="minorHAnsi" w:hAnsiTheme="minorHAnsi" w:cstheme="minorHAnsi"/>
          <w:szCs w:val="21"/>
        </w:rPr>
        <w:t xml:space="preserve"> opportunities in Social Enterprises to explore the vocational aspirations of people with intellectual disability. Components could include a range of entry level positions, job rotation options and opportunities for promotion and career paths (Smith, McVilly, McGillivray, &amp; Chan</w:t>
      </w:r>
      <w:r w:rsidR="00305C21" w:rsidRPr="00C85109">
        <w:rPr>
          <w:rFonts w:asciiTheme="minorHAnsi" w:hAnsiTheme="minorHAnsi" w:cstheme="minorHAnsi"/>
          <w:szCs w:val="21"/>
        </w:rPr>
        <w:t>,</w:t>
      </w:r>
      <w:r w:rsidRPr="00C85109">
        <w:rPr>
          <w:rFonts w:asciiTheme="minorHAnsi" w:hAnsiTheme="minorHAnsi" w:cstheme="minorHAnsi"/>
          <w:szCs w:val="21"/>
        </w:rPr>
        <w:t xml:space="preserve"> 2018).</w:t>
      </w:r>
    </w:p>
    <w:p w14:paraId="739DA316" w14:textId="77777777" w:rsidR="00E35816" w:rsidRPr="00C85109" w:rsidRDefault="00E35816" w:rsidP="00C85109">
      <w:pPr>
        <w:pStyle w:val="ListParagraph"/>
        <w:numPr>
          <w:ilvl w:val="0"/>
          <w:numId w:val="68"/>
        </w:numPr>
        <w:autoSpaceDE w:val="0"/>
        <w:autoSpaceDN w:val="0"/>
        <w:adjustRightInd w:val="0"/>
        <w:snapToGrid w:val="0"/>
        <w:spacing w:line="276" w:lineRule="auto"/>
        <w:rPr>
          <w:rFonts w:asciiTheme="minorHAnsi" w:hAnsiTheme="minorHAnsi" w:cstheme="minorHAnsi"/>
          <w:szCs w:val="21"/>
        </w:rPr>
      </w:pPr>
      <w:r w:rsidRPr="00C85109">
        <w:rPr>
          <w:rFonts w:asciiTheme="minorHAnsi" w:hAnsiTheme="minorHAnsi" w:cstheme="minorHAnsi"/>
          <w:szCs w:val="21"/>
        </w:rPr>
        <w:t>Support parents and families to gain knowledge of the employment service system, approaches that support employment, along with the influence of their own expectations and the value of their own social networks (Hall et al., 2018).</w:t>
      </w:r>
    </w:p>
    <w:p w14:paraId="0D940FD6" w14:textId="77777777" w:rsidR="00E35816" w:rsidRDefault="00E35816" w:rsidP="00CE427B">
      <w:pPr>
        <w:pStyle w:val="ListParagraph"/>
        <w:autoSpaceDE w:val="0"/>
        <w:autoSpaceDN w:val="0"/>
        <w:adjustRightInd w:val="0"/>
        <w:snapToGrid w:val="0"/>
        <w:spacing w:after="120" w:line="276" w:lineRule="auto"/>
        <w:ind w:left="765"/>
        <w:rPr>
          <w:rFonts w:cs="Calibri"/>
        </w:rPr>
        <w:sectPr w:rsidR="00E35816" w:rsidSect="000374E2">
          <w:pgSz w:w="11907" w:h="16840" w:code="9"/>
          <w:pgMar w:top="1440" w:right="1440" w:bottom="1440" w:left="1440" w:header="431" w:footer="720" w:gutter="0"/>
          <w:cols w:space="720"/>
          <w:docGrid w:linePitch="360"/>
        </w:sectPr>
      </w:pPr>
    </w:p>
    <w:p w14:paraId="4F1F5559" w14:textId="6B239977" w:rsidR="00E35816" w:rsidRDefault="00E35816" w:rsidP="00CE427B">
      <w:pPr>
        <w:pStyle w:val="Heading1"/>
        <w:ind w:left="360"/>
      </w:pPr>
      <w:bookmarkStart w:id="164" w:name="_Toc49462489"/>
      <w:r w:rsidRPr="001A64C5">
        <w:lastRenderedPageBreak/>
        <w:t>References</w:t>
      </w:r>
      <w:bookmarkEnd w:id="164"/>
    </w:p>
    <w:p w14:paraId="4FC362F0" w14:textId="77777777" w:rsidR="00E35816" w:rsidRPr="00C85109" w:rsidRDefault="00E35816" w:rsidP="00CE427B">
      <w:pPr>
        <w:rPr>
          <w:rFonts w:asciiTheme="minorHAnsi" w:hAnsiTheme="minorHAnsi" w:cstheme="minorHAnsi"/>
          <w:szCs w:val="21"/>
        </w:rPr>
      </w:pPr>
    </w:p>
    <w:p w14:paraId="7A2794B4" w14:textId="4929C08B" w:rsidR="00E35816" w:rsidRPr="00C85109" w:rsidRDefault="00E35816" w:rsidP="00CE427B">
      <w:pPr>
        <w:autoSpaceDE w:val="0"/>
        <w:autoSpaceDN w:val="0"/>
        <w:adjustRightInd w:val="0"/>
        <w:spacing w:before="0" w:after="120" w:line="276" w:lineRule="auto"/>
        <w:ind w:left="851" w:hanging="491"/>
        <w:rPr>
          <w:rStyle w:val="Hyperlink"/>
          <w:rFonts w:asciiTheme="minorHAnsi" w:hAnsiTheme="minorHAnsi" w:cstheme="minorHAnsi"/>
          <w:color w:val="auto"/>
          <w:szCs w:val="21"/>
          <w:u w:val="none"/>
        </w:rPr>
      </w:pPr>
      <w:bookmarkStart w:id="165" w:name="_Hlk42506646"/>
      <w:r w:rsidRPr="00C85109">
        <w:rPr>
          <w:rFonts w:asciiTheme="minorHAnsi" w:hAnsiTheme="minorHAnsi" w:cstheme="minorHAnsi"/>
          <w:szCs w:val="21"/>
        </w:rPr>
        <w:t>ACIL Allen Consulting</w:t>
      </w:r>
      <w:r w:rsidR="00A433E9" w:rsidRPr="00C85109">
        <w:rPr>
          <w:rFonts w:asciiTheme="minorHAnsi" w:hAnsiTheme="minorHAnsi" w:cstheme="minorHAnsi"/>
          <w:szCs w:val="21"/>
        </w:rPr>
        <w:t>.</w:t>
      </w:r>
      <w:r w:rsidRPr="00C85109">
        <w:rPr>
          <w:rFonts w:asciiTheme="minorHAnsi" w:hAnsiTheme="minorHAnsi" w:cstheme="minorHAnsi"/>
          <w:szCs w:val="21"/>
        </w:rPr>
        <w:t xml:space="preserve"> (2017)</w:t>
      </w:r>
      <w:r w:rsidR="00A433E9" w:rsidRPr="00C85109">
        <w:rPr>
          <w:rFonts w:asciiTheme="minorHAnsi" w:hAnsiTheme="minorHAnsi" w:cstheme="minorHAnsi"/>
          <w:szCs w:val="21"/>
        </w:rPr>
        <w:t xml:space="preserve">. </w:t>
      </w:r>
      <w:r w:rsidRPr="00C85109">
        <w:rPr>
          <w:rFonts w:asciiTheme="minorHAnsi" w:hAnsiTheme="minorHAnsi" w:cstheme="minorHAnsi"/>
          <w:i/>
          <w:iCs/>
          <w:szCs w:val="21"/>
        </w:rPr>
        <w:t xml:space="preserve">National </w:t>
      </w:r>
      <w:r w:rsidR="006102D0" w:rsidRPr="00C85109">
        <w:rPr>
          <w:rFonts w:asciiTheme="minorHAnsi" w:hAnsiTheme="minorHAnsi" w:cstheme="minorHAnsi"/>
          <w:i/>
          <w:iCs/>
          <w:szCs w:val="21"/>
        </w:rPr>
        <w:t>d</w:t>
      </w:r>
      <w:r w:rsidRPr="00C85109">
        <w:rPr>
          <w:rFonts w:asciiTheme="minorHAnsi" w:hAnsiTheme="minorHAnsi" w:cstheme="minorHAnsi"/>
          <w:i/>
          <w:iCs/>
          <w:szCs w:val="21"/>
        </w:rPr>
        <w:t xml:space="preserve">isability </w:t>
      </w:r>
      <w:r w:rsidR="006102D0" w:rsidRPr="00C85109">
        <w:rPr>
          <w:rFonts w:asciiTheme="minorHAnsi" w:hAnsiTheme="minorHAnsi" w:cstheme="minorHAnsi"/>
          <w:i/>
          <w:iCs/>
          <w:szCs w:val="21"/>
        </w:rPr>
        <w:t>c</w:t>
      </w:r>
      <w:r w:rsidRPr="00C85109">
        <w:rPr>
          <w:rFonts w:asciiTheme="minorHAnsi" w:hAnsiTheme="minorHAnsi" w:cstheme="minorHAnsi"/>
          <w:i/>
          <w:iCs/>
          <w:szCs w:val="21"/>
        </w:rPr>
        <w:t xml:space="preserve">oordination </w:t>
      </w:r>
      <w:r w:rsidR="006102D0" w:rsidRPr="00C85109">
        <w:rPr>
          <w:rFonts w:asciiTheme="minorHAnsi" w:hAnsiTheme="minorHAnsi" w:cstheme="minorHAnsi"/>
          <w:i/>
          <w:iCs/>
          <w:szCs w:val="21"/>
        </w:rPr>
        <w:t>o</w:t>
      </w:r>
      <w:r w:rsidRPr="00C85109">
        <w:rPr>
          <w:rFonts w:asciiTheme="minorHAnsi" w:hAnsiTheme="minorHAnsi" w:cstheme="minorHAnsi"/>
          <w:i/>
          <w:iCs/>
          <w:szCs w:val="21"/>
        </w:rPr>
        <w:t xml:space="preserve">fficer </w:t>
      </w:r>
      <w:r w:rsidR="006102D0" w:rsidRPr="00C85109">
        <w:rPr>
          <w:rFonts w:asciiTheme="minorHAnsi" w:hAnsiTheme="minorHAnsi" w:cstheme="minorHAnsi"/>
          <w:i/>
          <w:iCs/>
          <w:szCs w:val="21"/>
        </w:rPr>
        <w:t>p</w:t>
      </w:r>
      <w:r w:rsidRPr="00C85109">
        <w:rPr>
          <w:rFonts w:asciiTheme="minorHAnsi" w:hAnsiTheme="minorHAnsi" w:cstheme="minorHAnsi"/>
          <w:i/>
          <w:iCs/>
          <w:szCs w:val="21"/>
        </w:rPr>
        <w:t xml:space="preserve">rogram </w:t>
      </w:r>
      <w:r w:rsidR="006102D0" w:rsidRPr="00C85109">
        <w:rPr>
          <w:rFonts w:asciiTheme="minorHAnsi" w:hAnsiTheme="minorHAnsi" w:cstheme="minorHAnsi"/>
          <w:i/>
          <w:iCs/>
          <w:szCs w:val="21"/>
        </w:rPr>
        <w:t>e</w:t>
      </w:r>
      <w:r w:rsidRPr="00C85109">
        <w:rPr>
          <w:rFonts w:asciiTheme="minorHAnsi" w:hAnsiTheme="minorHAnsi" w:cstheme="minorHAnsi"/>
          <w:i/>
          <w:iCs/>
          <w:szCs w:val="21"/>
        </w:rPr>
        <w:t>valuation</w:t>
      </w:r>
      <w:r w:rsidR="00785C62" w:rsidRPr="00C85109">
        <w:rPr>
          <w:rFonts w:asciiTheme="minorHAnsi" w:hAnsiTheme="minorHAnsi" w:cstheme="minorHAnsi"/>
          <w:szCs w:val="21"/>
        </w:rPr>
        <w:t>.</w:t>
      </w:r>
      <w:r w:rsidRPr="00C85109">
        <w:rPr>
          <w:rFonts w:asciiTheme="minorHAnsi" w:hAnsiTheme="minorHAnsi" w:cstheme="minorHAnsi"/>
          <w:szCs w:val="21"/>
        </w:rPr>
        <w:t xml:space="preserve"> </w:t>
      </w:r>
      <w:r w:rsidR="007665C7" w:rsidRPr="00C85109">
        <w:rPr>
          <w:rFonts w:asciiTheme="minorHAnsi" w:hAnsiTheme="minorHAnsi" w:cstheme="minorHAnsi"/>
          <w:szCs w:val="21"/>
        </w:rPr>
        <w:t>https://docs.education.gov.au/system/files/doc/other/ndco_evaluation_final_report.pdf</w:t>
      </w:r>
    </w:p>
    <w:bookmarkEnd w:id="165"/>
    <w:p w14:paraId="5B80A6B9" w14:textId="2DF32312" w:rsidR="00E35816" w:rsidRPr="00C85109" w:rsidRDefault="00E35816" w:rsidP="00CE427B">
      <w:pPr>
        <w:pStyle w:val="CommentText"/>
        <w:spacing w:before="0" w:after="120" w:line="276" w:lineRule="auto"/>
        <w:ind w:left="851" w:hanging="491"/>
        <w:rPr>
          <w:rFonts w:asciiTheme="minorHAnsi" w:hAnsiTheme="minorHAnsi" w:cstheme="minorHAnsi"/>
          <w:szCs w:val="21"/>
        </w:rPr>
      </w:pPr>
      <w:proofErr w:type="spellStart"/>
      <w:r w:rsidRPr="00C85109">
        <w:rPr>
          <w:rFonts w:asciiTheme="minorHAnsi" w:hAnsiTheme="minorHAnsi" w:cstheme="minorHAnsi"/>
          <w:szCs w:val="21"/>
        </w:rPr>
        <w:t>Akkerman</w:t>
      </w:r>
      <w:proofErr w:type="spellEnd"/>
      <w:r w:rsidRPr="00C85109">
        <w:rPr>
          <w:rFonts w:asciiTheme="minorHAnsi" w:hAnsiTheme="minorHAnsi" w:cstheme="minorHAnsi"/>
          <w:szCs w:val="21"/>
        </w:rPr>
        <w:t xml:space="preserve">, A., Janssen, C. G. C., Kef, S., &amp; </w:t>
      </w:r>
      <w:proofErr w:type="spellStart"/>
      <w:r w:rsidRPr="00C85109">
        <w:rPr>
          <w:rFonts w:asciiTheme="minorHAnsi" w:hAnsiTheme="minorHAnsi" w:cstheme="minorHAnsi"/>
          <w:szCs w:val="21"/>
        </w:rPr>
        <w:t>Meininger</w:t>
      </w:r>
      <w:proofErr w:type="spellEnd"/>
      <w:r w:rsidRPr="00C85109">
        <w:rPr>
          <w:rFonts w:asciiTheme="minorHAnsi" w:hAnsiTheme="minorHAnsi" w:cstheme="minorHAnsi"/>
          <w:szCs w:val="21"/>
        </w:rPr>
        <w:t xml:space="preserve">, H. P. (2016). Job </w:t>
      </w:r>
      <w:r w:rsidR="00293108" w:rsidRPr="00C85109">
        <w:rPr>
          <w:rFonts w:asciiTheme="minorHAnsi" w:hAnsiTheme="minorHAnsi" w:cstheme="minorHAnsi"/>
          <w:szCs w:val="21"/>
        </w:rPr>
        <w:t>s</w:t>
      </w:r>
      <w:r w:rsidRPr="00C85109">
        <w:rPr>
          <w:rFonts w:asciiTheme="minorHAnsi" w:hAnsiTheme="minorHAnsi" w:cstheme="minorHAnsi"/>
          <w:szCs w:val="21"/>
        </w:rPr>
        <w:t xml:space="preserve">atisfaction of </w:t>
      </w:r>
      <w:r w:rsidR="00293108" w:rsidRPr="00C85109">
        <w:rPr>
          <w:rFonts w:asciiTheme="minorHAnsi" w:hAnsiTheme="minorHAnsi" w:cstheme="minorHAnsi"/>
          <w:szCs w:val="21"/>
        </w:rPr>
        <w:t>p</w:t>
      </w:r>
      <w:r w:rsidRPr="00C85109">
        <w:rPr>
          <w:rFonts w:asciiTheme="minorHAnsi" w:hAnsiTheme="minorHAnsi" w:cstheme="minorHAnsi"/>
          <w:szCs w:val="21"/>
        </w:rPr>
        <w:t xml:space="preserve">eople </w:t>
      </w:r>
      <w:r w:rsidR="00293108" w:rsidRPr="00C85109">
        <w:rPr>
          <w:rFonts w:asciiTheme="minorHAnsi" w:hAnsiTheme="minorHAnsi" w:cstheme="minorHAnsi"/>
          <w:szCs w:val="21"/>
        </w:rPr>
        <w:t>w</w:t>
      </w:r>
      <w:r w:rsidRPr="00C85109">
        <w:rPr>
          <w:rFonts w:asciiTheme="minorHAnsi" w:hAnsiTheme="minorHAnsi" w:cstheme="minorHAnsi"/>
          <w:szCs w:val="21"/>
        </w:rPr>
        <w:t xml:space="preserve">ith </w:t>
      </w:r>
      <w:r w:rsidR="00293108" w:rsidRPr="00C85109">
        <w:rPr>
          <w:rFonts w:asciiTheme="minorHAnsi" w:hAnsiTheme="minorHAnsi" w:cstheme="minorHAnsi"/>
          <w:szCs w:val="21"/>
        </w:rPr>
        <w:t>i</w:t>
      </w:r>
      <w:r w:rsidRPr="00C85109">
        <w:rPr>
          <w:rFonts w:asciiTheme="minorHAnsi" w:hAnsiTheme="minorHAnsi" w:cstheme="minorHAnsi"/>
          <w:szCs w:val="21"/>
        </w:rPr>
        <w:t xml:space="preserve">ntellectual </w:t>
      </w:r>
      <w:r w:rsidR="00293108" w:rsidRPr="00C85109">
        <w:rPr>
          <w:rFonts w:asciiTheme="minorHAnsi" w:hAnsiTheme="minorHAnsi" w:cstheme="minorHAnsi"/>
          <w:szCs w:val="21"/>
        </w:rPr>
        <w:t>d</w:t>
      </w:r>
      <w:r w:rsidRPr="00C85109">
        <w:rPr>
          <w:rFonts w:asciiTheme="minorHAnsi" w:hAnsiTheme="minorHAnsi" w:cstheme="minorHAnsi"/>
          <w:szCs w:val="21"/>
        </w:rPr>
        <w:t xml:space="preserve">isabilities in </w:t>
      </w:r>
      <w:r w:rsidR="00293108" w:rsidRPr="00C85109">
        <w:rPr>
          <w:rFonts w:asciiTheme="minorHAnsi" w:hAnsiTheme="minorHAnsi" w:cstheme="minorHAnsi"/>
          <w:szCs w:val="21"/>
        </w:rPr>
        <w:t>i</w:t>
      </w:r>
      <w:r w:rsidRPr="00C85109">
        <w:rPr>
          <w:rFonts w:asciiTheme="minorHAnsi" w:hAnsiTheme="minorHAnsi" w:cstheme="minorHAnsi"/>
          <w:szCs w:val="21"/>
        </w:rPr>
        <w:t xml:space="preserve">ntegrated and </w:t>
      </w:r>
      <w:r w:rsidR="00293108" w:rsidRPr="00C85109">
        <w:rPr>
          <w:rFonts w:asciiTheme="minorHAnsi" w:hAnsiTheme="minorHAnsi" w:cstheme="minorHAnsi"/>
          <w:szCs w:val="21"/>
        </w:rPr>
        <w:t>s</w:t>
      </w:r>
      <w:r w:rsidRPr="00C85109">
        <w:rPr>
          <w:rFonts w:asciiTheme="minorHAnsi" w:hAnsiTheme="minorHAnsi" w:cstheme="minorHAnsi"/>
          <w:szCs w:val="21"/>
        </w:rPr>
        <w:t xml:space="preserve">heltered </w:t>
      </w:r>
      <w:r w:rsidR="00293108" w:rsidRPr="00C85109">
        <w:rPr>
          <w:rFonts w:asciiTheme="minorHAnsi" w:hAnsiTheme="minorHAnsi" w:cstheme="minorHAnsi"/>
          <w:szCs w:val="21"/>
        </w:rPr>
        <w:t>e</w:t>
      </w:r>
      <w:r w:rsidRPr="00C85109">
        <w:rPr>
          <w:rFonts w:asciiTheme="minorHAnsi" w:hAnsiTheme="minorHAnsi" w:cstheme="minorHAnsi"/>
          <w:szCs w:val="21"/>
        </w:rPr>
        <w:t xml:space="preserve">mployment: An </w:t>
      </w:r>
      <w:r w:rsidR="00293108" w:rsidRPr="00C85109">
        <w:rPr>
          <w:rFonts w:asciiTheme="minorHAnsi" w:hAnsiTheme="minorHAnsi" w:cstheme="minorHAnsi"/>
          <w:szCs w:val="21"/>
        </w:rPr>
        <w:t>e</w:t>
      </w:r>
      <w:r w:rsidRPr="00C85109">
        <w:rPr>
          <w:rFonts w:asciiTheme="minorHAnsi" w:hAnsiTheme="minorHAnsi" w:cstheme="minorHAnsi"/>
          <w:szCs w:val="21"/>
        </w:rPr>
        <w:t xml:space="preserve">xploration of the </w:t>
      </w:r>
      <w:r w:rsidR="00293108" w:rsidRPr="00C85109">
        <w:rPr>
          <w:rFonts w:asciiTheme="minorHAnsi" w:hAnsiTheme="minorHAnsi" w:cstheme="minorHAnsi"/>
          <w:szCs w:val="21"/>
        </w:rPr>
        <w:t>l</w:t>
      </w:r>
      <w:r w:rsidRPr="00C85109">
        <w:rPr>
          <w:rFonts w:asciiTheme="minorHAnsi" w:hAnsiTheme="minorHAnsi" w:cstheme="minorHAnsi"/>
          <w:szCs w:val="21"/>
        </w:rPr>
        <w:t xml:space="preserve">iterature. </w:t>
      </w:r>
      <w:r w:rsidRPr="00C85109">
        <w:rPr>
          <w:rFonts w:asciiTheme="minorHAnsi" w:hAnsiTheme="minorHAnsi" w:cstheme="minorHAnsi"/>
          <w:i/>
          <w:iCs/>
          <w:szCs w:val="21"/>
        </w:rPr>
        <w:t xml:space="preserve">Journal of Policy </w:t>
      </w:r>
      <w:r w:rsidR="00F4720F" w:rsidRPr="00C85109">
        <w:rPr>
          <w:rFonts w:asciiTheme="minorHAnsi" w:hAnsiTheme="minorHAnsi" w:cstheme="minorHAnsi"/>
          <w:i/>
          <w:iCs/>
          <w:szCs w:val="21"/>
        </w:rPr>
        <w:t>and</w:t>
      </w:r>
      <w:r w:rsidRPr="00C85109">
        <w:rPr>
          <w:rFonts w:asciiTheme="minorHAnsi" w:hAnsiTheme="minorHAnsi" w:cstheme="minorHAnsi"/>
          <w:i/>
          <w:iCs/>
          <w:szCs w:val="21"/>
        </w:rPr>
        <w:t xml:space="preserve"> Practice in Intellectual Disabilities</w:t>
      </w:r>
      <w:r w:rsidRPr="00C85109">
        <w:rPr>
          <w:rFonts w:asciiTheme="minorHAnsi" w:hAnsiTheme="minorHAnsi" w:cstheme="minorHAnsi"/>
          <w:szCs w:val="21"/>
        </w:rPr>
        <w:t xml:space="preserve">, </w:t>
      </w:r>
      <w:r w:rsidRPr="00C85109">
        <w:rPr>
          <w:rFonts w:asciiTheme="minorHAnsi" w:hAnsiTheme="minorHAnsi" w:cstheme="minorHAnsi"/>
          <w:i/>
          <w:iCs/>
          <w:szCs w:val="21"/>
        </w:rPr>
        <w:t>13</w:t>
      </w:r>
      <w:r w:rsidRPr="00C85109">
        <w:rPr>
          <w:rFonts w:asciiTheme="minorHAnsi" w:hAnsiTheme="minorHAnsi" w:cstheme="minorHAnsi"/>
          <w:szCs w:val="21"/>
        </w:rPr>
        <w:t>(3), 205-216</w:t>
      </w:r>
      <w:r w:rsidR="00647F1D" w:rsidRPr="00C85109">
        <w:rPr>
          <w:rFonts w:asciiTheme="minorHAnsi" w:hAnsiTheme="minorHAnsi" w:cstheme="minorHAnsi"/>
          <w:szCs w:val="21"/>
        </w:rPr>
        <w:t>.</w:t>
      </w:r>
      <w:r w:rsidR="00C4338A" w:rsidRPr="00C85109">
        <w:rPr>
          <w:rFonts w:asciiTheme="minorHAnsi" w:hAnsiTheme="minorHAnsi" w:cstheme="minorHAnsi"/>
          <w:szCs w:val="21"/>
        </w:rPr>
        <w:t xml:space="preserve"> https://doi.org/10.1111/jppi.12168</w:t>
      </w:r>
    </w:p>
    <w:p w14:paraId="7188FF77" w14:textId="33EBEFEC" w:rsidR="00E35816" w:rsidRPr="00C85109" w:rsidRDefault="00E35816" w:rsidP="00CE427B">
      <w:pPr>
        <w:pStyle w:val="EndNoteBibliography"/>
        <w:spacing w:after="120" w:line="276" w:lineRule="auto"/>
        <w:ind w:left="851" w:hanging="491"/>
        <w:rPr>
          <w:rFonts w:asciiTheme="minorHAnsi" w:hAnsiTheme="minorHAnsi" w:cstheme="minorHAnsi"/>
          <w:sz w:val="21"/>
          <w:szCs w:val="21"/>
        </w:rPr>
      </w:pPr>
      <w:bookmarkStart w:id="166" w:name="_Hlk41234343"/>
      <w:r w:rsidRPr="00C85109">
        <w:rPr>
          <w:rFonts w:asciiTheme="minorHAnsi" w:hAnsiTheme="minorHAnsi" w:cstheme="minorHAnsi"/>
          <w:sz w:val="21"/>
          <w:szCs w:val="21"/>
        </w:rPr>
        <w:t xml:space="preserve">Andersén, Å., Larsson, K., Pingel, R., Kristiansson, P., &amp; Anderzén, I. (2018). The relationship between self-efficacy and transition to work or studies in young adults with disabilities. </w:t>
      </w:r>
      <w:r w:rsidRPr="00C85109">
        <w:rPr>
          <w:rFonts w:asciiTheme="minorHAnsi" w:hAnsiTheme="minorHAnsi" w:cstheme="minorHAnsi"/>
          <w:i/>
          <w:sz w:val="21"/>
          <w:szCs w:val="21"/>
        </w:rPr>
        <w:t>Scandinavian Journal of Public Health, 46</w:t>
      </w:r>
      <w:r w:rsidRPr="00C85109">
        <w:rPr>
          <w:rFonts w:asciiTheme="minorHAnsi" w:hAnsiTheme="minorHAnsi" w:cstheme="minorHAnsi"/>
          <w:sz w:val="21"/>
          <w:szCs w:val="21"/>
        </w:rPr>
        <w:t xml:space="preserve">(2), 272-278. </w:t>
      </w:r>
      <w:r w:rsidR="00FD5CBA" w:rsidRPr="00C85109">
        <w:rPr>
          <w:rFonts w:asciiTheme="minorHAnsi" w:hAnsiTheme="minorHAnsi" w:cstheme="minorHAnsi"/>
          <w:sz w:val="21"/>
          <w:szCs w:val="21"/>
        </w:rPr>
        <w:t>https://doi.org/10.1177/1403494817717556</w:t>
      </w:r>
    </w:p>
    <w:p w14:paraId="2FBD6687" w14:textId="2C2CDECB" w:rsidR="00E35816" w:rsidRPr="00C85109" w:rsidRDefault="00E35816" w:rsidP="00CE427B">
      <w:pPr>
        <w:pStyle w:val="EndNoteBibliography"/>
        <w:spacing w:after="120" w:line="276" w:lineRule="auto"/>
        <w:ind w:left="851" w:hanging="491"/>
        <w:rPr>
          <w:rFonts w:asciiTheme="minorHAnsi" w:hAnsiTheme="minorHAnsi" w:cstheme="minorHAnsi"/>
          <w:sz w:val="21"/>
          <w:szCs w:val="21"/>
        </w:rPr>
      </w:pPr>
      <w:r w:rsidRPr="00C85109">
        <w:rPr>
          <w:rFonts w:asciiTheme="minorHAnsi" w:hAnsiTheme="minorHAnsi" w:cstheme="minorHAnsi"/>
          <w:sz w:val="21"/>
          <w:szCs w:val="21"/>
        </w:rPr>
        <w:t xml:space="preserve">Antonelli, K., Steverson, A., &amp; O'Mally, J. (2018). College graduates with visual impairments: A report on seeking and finding employment. </w:t>
      </w:r>
      <w:r w:rsidRPr="00C85109">
        <w:rPr>
          <w:rFonts w:asciiTheme="minorHAnsi" w:hAnsiTheme="minorHAnsi" w:cstheme="minorHAnsi"/>
          <w:i/>
          <w:iCs/>
          <w:sz w:val="21"/>
          <w:szCs w:val="21"/>
        </w:rPr>
        <w:t>Journal of Visual Impairment &amp; Blindness</w:t>
      </w:r>
      <w:r w:rsidRPr="00C85109">
        <w:rPr>
          <w:rFonts w:asciiTheme="minorHAnsi" w:hAnsiTheme="minorHAnsi" w:cstheme="minorHAnsi"/>
          <w:sz w:val="21"/>
          <w:szCs w:val="21"/>
        </w:rPr>
        <w:t xml:space="preserve">, </w:t>
      </w:r>
      <w:r w:rsidRPr="00C85109">
        <w:rPr>
          <w:rFonts w:asciiTheme="minorHAnsi" w:hAnsiTheme="minorHAnsi" w:cstheme="minorHAnsi"/>
          <w:i/>
          <w:iCs/>
          <w:sz w:val="21"/>
          <w:szCs w:val="21"/>
        </w:rPr>
        <w:t>112</w:t>
      </w:r>
      <w:r w:rsidRPr="00C85109">
        <w:rPr>
          <w:rFonts w:asciiTheme="minorHAnsi" w:hAnsiTheme="minorHAnsi" w:cstheme="minorHAnsi"/>
          <w:sz w:val="21"/>
          <w:szCs w:val="21"/>
        </w:rPr>
        <w:t xml:space="preserve">(1), 33-45. </w:t>
      </w:r>
      <w:r w:rsidR="00715465" w:rsidRPr="00C85109">
        <w:rPr>
          <w:rFonts w:asciiTheme="minorHAnsi" w:hAnsiTheme="minorHAnsi" w:cstheme="minorHAnsi"/>
          <w:sz w:val="21"/>
          <w:szCs w:val="21"/>
        </w:rPr>
        <w:t>https://doi.org/10.1177/0145482X1811200104</w:t>
      </w:r>
    </w:p>
    <w:p w14:paraId="6B26524A" w14:textId="3624DD9E" w:rsidR="00685C85" w:rsidRPr="00C85109" w:rsidRDefault="00E35816" w:rsidP="00CE427B">
      <w:pPr>
        <w:pStyle w:val="EndNoteBibliography"/>
        <w:spacing w:after="120" w:line="276" w:lineRule="auto"/>
        <w:ind w:left="851" w:hanging="491"/>
        <w:rPr>
          <w:rFonts w:asciiTheme="minorHAnsi" w:hAnsiTheme="minorHAnsi" w:cstheme="minorHAnsi"/>
          <w:sz w:val="21"/>
          <w:szCs w:val="21"/>
        </w:rPr>
      </w:pPr>
      <w:r w:rsidRPr="00C85109">
        <w:rPr>
          <w:rFonts w:asciiTheme="minorHAnsi" w:hAnsiTheme="minorHAnsi" w:cstheme="minorHAnsi"/>
          <w:sz w:val="21"/>
          <w:szCs w:val="21"/>
        </w:rPr>
        <w:t xml:space="preserve">ARTD Consultants. (2016). </w:t>
      </w:r>
      <w:r w:rsidRPr="00C85109">
        <w:rPr>
          <w:rFonts w:asciiTheme="minorHAnsi" w:hAnsiTheme="minorHAnsi" w:cstheme="minorHAnsi"/>
          <w:i/>
          <w:sz w:val="21"/>
          <w:szCs w:val="21"/>
        </w:rPr>
        <w:t xml:space="preserve">Ticket </w:t>
      </w:r>
      <w:r w:rsidR="00A77F92" w:rsidRPr="00C85109">
        <w:rPr>
          <w:rFonts w:asciiTheme="minorHAnsi" w:hAnsiTheme="minorHAnsi" w:cstheme="minorHAnsi"/>
          <w:i/>
          <w:sz w:val="21"/>
          <w:szCs w:val="21"/>
        </w:rPr>
        <w:t>to w</w:t>
      </w:r>
      <w:r w:rsidRPr="00C85109">
        <w:rPr>
          <w:rFonts w:asciiTheme="minorHAnsi" w:hAnsiTheme="minorHAnsi" w:cstheme="minorHAnsi"/>
          <w:i/>
          <w:sz w:val="21"/>
          <w:szCs w:val="21"/>
        </w:rPr>
        <w:t xml:space="preserve">ork </w:t>
      </w:r>
      <w:r w:rsidR="00616DBB" w:rsidRPr="00C85109">
        <w:rPr>
          <w:rFonts w:asciiTheme="minorHAnsi" w:hAnsiTheme="minorHAnsi" w:cstheme="minorHAnsi"/>
          <w:i/>
          <w:sz w:val="21"/>
          <w:szCs w:val="21"/>
        </w:rPr>
        <w:t>pilot outcomes study</w:t>
      </w:r>
      <w:r w:rsidR="00793A76" w:rsidRPr="00C85109">
        <w:rPr>
          <w:rFonts w:asciiTheme="minorHAnsi" w:hAnsiTheme="minorHAnsi" w:cstheme="minorHAnsi"/>
          <w:i/>
          <w:sz w:val="21"/>
          <w:szCs w:val="21"/>
        </w:rPr>
        <w:t>:</w:t>
      </w:r>
      <w:r w:rsidRPr="00C85109">
        <w:rPr>
          <w:rFonts w:asciiTheme="minorHAnsi" w:hAnsiTheme="minorHAnsi" w:cstheme="minorHAnsi"/>
          <w:i/>
          <w:sz w:val="21"/>
          <w:szCs w:val="21"/>
        </w:rPr>
        <w:t xml:space="preserve"> A </w:t>
      </w:r>
      <w:r w:rsidR="00616DBB" w:rsidRPr="00C85109">
        <w:rPr>
          <w:rFonts w:asciiTheme="minorHAnsi" w:hAnsiTheme="minorHAnsi" w:cstheme="minorHAnsi"/>
          <w:i/>
          <w:sz w:val="21"/>
          <w:szCs w:val="21"/>
        </w:rPr>
        <w:t>quasi-experimental analysis of pathways from school to economic and social inclusion</w:t>
      </w:r>
      <w:r w:rsidR="00C355DF" w:rsidRPr="00C85109">
        <w:rPr>
          <w:rFonts w:asciiTheme="minorHAnsi" w:hAnsiTheme="minorHAnsi" w:cstheme="minorHAnsi"/>
          <w:i/>
          <w:sz w:val="21"/>
          <w:szCs w:val="21"/>
        </w:rPr>
        <w:t>.</w:t>
      </w:r>
      <w:r w:rsidRPr="00C85109">
        <w:rPr>
          <w:rFonts w:asciiTheme="minorHAnsi" w:hAnsiTheme="minorHAnsi" w:cstheme="minorHAnsi"/>
          <w:i/>
          <w:sz w:val="21"/>
          <w:szCs w:val="21"/>
        </w:rPr>
        <w:t xml:space="preserve"> </w:t>
      </w:r>
      <w:r w:rsidR="00C355DF" w:rsidRPr="00C85109">
        <w:rPr>
          <w:rFonts w:asciiTheme="minorHAnsi" w:hAnsiTheme="minorHAnsi" w:cstheme="minorHAnsi"/>
          <w:i/>
          <w:sz w:val="21"/>
          <w:szCs w:val="21"/>
        </w:rPr>
        <w:t>R</w:t>
      </w:r>
      <w:r w:rsidRPr="00C85109">
        <w:rPr>
          <w:rFonts w:asciiTheme="minorHAnsi" w:hAnsiTheme="minorHAnsi" w:cstheme="minorHAnsi"/>
          <w:i/>
          <w:sz w:val="21"/>
          <w:szCs w:val="21"/>
        </w:rPr>
        <w:t>eport for National Disability Services</w:t>
      </w:r>
      <w:r w:rsidR="00793A76" w:rsidRPr="00C85109">
        <w:rPr>
          <w:rFonts w:asciiTheme="minorHAnsi" w:hAnsiTheme="minorHAnsi" w:cstheme="minorHAnsi"/>
          <w:i/>
          <w:sz w:val="21"/>
          <w:szCs w:val="21"/>
        </w:rPr>
        <w:t>.</w:t>
      </w:r>
      <w:r w:rsidRPr="00C85109">
        <w:rPr>
          <w:rFonts w:asciiTheme="minorHAnsi" w:hAnsiTheme="minorHAnsi" w:cstheme="minorHAnsi"/>
          <w:sz w:val="21"/>
          <w:szCs w:val="21"/>
        </w:rPr>
        <w:t xml:space="preserve"> </w:t>
      </w:r>
      <w:r w:rsidR="00685C85" w:rsidRPr="00C85109">
        <w:rPr>
          <w:rFonts w:asciiTheme="minorHAnsi" w:hAnsiTheme="minorHAnsi" w:cstheme="minorHAnsi"/>
          <w:sz w:val="21"/>
          <w:szCs w:val="21"/>
        </w:rPr>
        <w:t>https://tickettowork.org.au/media/uploads/2020/03/03/ticket-to-work-pilot-outcomes-study-2016.pdf</w:t>
      </w:r>
    </w:p>
    <w:p w14:paraId="45963328" w14:textId="122C971F" w:rsidR="00E35816" w:rsidRPr="00C85109" w:rsidRDefault="00E35816" w:rsidP="00CE427B">
      <w:pPr>
        <w:autoSpaceDE w:val="0"/>
        <w:autoSpaceDN w:val="0"/>
        <w:adjustRightInd w:val="0"/>
        <w:spacing w:before="0" w:after="120" w:line="276" w:lineRule="auto"/>
        <w:ind w:left="851" w:hanging="491"/>
        <w:rPr>
          <w:rFonts w:asciiTheme="minorHAnsi" w:hAnsiTheme="minorHAnsi" w:cstheme="minorHAnsi"/>
          <w:szCs w:val="21"/>
        </w:rPr>
      </w:pPr>
      <w:bookmarkStart w:id="167" w:name="_Hlk42266517"/>
      <w:r w:rsidRPr="00C85109">
        <w:rPr>
          <w:rFonts w:asciiTheme="minorHAnsi" w:hAnsiTheme="minorHAnsi" w:cstheme="minorHAnsi"/>
          <w:szCs w:val="21"/>
        </w:rPr>
        <w:t xml:space="preserve">ARTD Consultants. (2019). </w:t>
      </w:r>
      <w:r w:rsidRPr="00C85109">
        <w:rPr>
          <w:rFonts w:asciiTheme="minorHAnsi" w:hAnsiTheme="minorHAnsi" w:cstheme="minorHAnsi"/>
          <w:i/>
          <w:iCs/>
          <w:szCs w:val="21"/>
        </w:rPr>
        <w:t xml:space="preserve">Ticket </w:t>
      </w:r>
      <w:r w:rsidR="00C355DF" w:rsidRPr="00C85109">
        <w:rPr>
          <w:rFonts w:asciiTheme="minorHAnsi" w:hAnsiTheme="minorHAnsi" w:cstheme="minorHAnsi"/>
          <w:i/>
          <w:iCs/>
          <w:szCs w:val="21"/>
        </w:rPr>
        <w:t xml:space="preserve">to work post school outcomes. </w:t>
      </w:r>
      <w:r w:rsidRPr="00C85109">
        <w:rPr>
          <w:rFonts w:asciiTheme="minorHAnsi" w:hAnsiTheme="minorHAnsi" w:cstheme="minorHAnsi"/>
          <w:i/>
          <w:iCs/>
          <w:szCs w:val="21"/>
        </w:rPr>
        <w:t xml:space="preserve">Report for National Disability Services, </w:t>
      </w:r>
      <w:r w:rsidR="00EA1F02" w:rsidRPr="00C85109">
        <w:rPr>
          <w:rFonts w:asciiTheme="minorHAnsi" w:hAnsiTheme="minorHAnsi" w:cstheme="minorHAnsi"/>
          <w:i/>
          <w:iCs/>
          <w:szCs w:val="21"/>
        </w:rPr>
        <w:t>f</w:t>
      </w:r>
      <w:r w:rsidRPr="00C85109">
        <w:rPr>
          <w:rFonts w:asciiTheme="minorHAnsi" w:hAnsiTheme="minorHAnsi" w:cstheme="minorHAnsi"/>
          <w:i/>
          <w:iCs/>
          <w:szCs w:val="21"/>
        </w:rPr>
        <w:t xml:space="preserve">inal </w:t>
      </w:r>
      <w:r w:rsidR="00EA1F02" w:rsidRPr="00C85109">
        <w:rPr>
          <w:rFonts w:asciiTheme="minorHAnsi" w:hAnsiTheme="minorHAnsi" w:cstheme="minorHAnsi"/>
          <w:i/>
          <w:iCs/>
          <w:szCs w:val="21"/>
        </w:rPr>
        <w:t>r</w:t>
      </w:r>
      <w:r w:rsidRPr="00C85109">
        <w:rPr>
          <w:rFonts w:asciiTheme="minorHAnsi" w:hAnsiTheme="minorHAnsi" w:cstheme="minorHAnsi"/>
          <w:i/>
          <w:iCs/>
          <w:szCs w:val="21"/>
        </w:rPr>
        <w:t>eport</w:t>
      </w:r>
      <w:r w:rsidR="00EA1F02" w:rsidRPr="00C85109">
        <w:rPr>
          <w:rFonts w:asciiTheme="minorHAnsi" w:hAnsiTheme="minorHAnsi" w:cstheme="minorHAnsi"/>
          <w:i/>
          <w:iCs/>
          <w:szCs w:val="21"/>
        </w:rPr>
        <w:t>.</w:t>
      </w:r>
      <w:r w:rsidRPr="00C85109">
        <w:rPr>
          <w:rFonts w:asciiTheme="minorHAnsi" w:hAnsiTheme="minorHAnsi" w:cstheme="minorHAnsi"/>
          <w:szCs w:val="21"/>
        </w:rPr>
        <w:t xml:space="preserve"> </w:t>
      </w:r>
      <w:r w:rsidR="0013122F" w:rsidRPr="00C85109">
        <w:rPr>
          <w:rFonts w:asciiTheme="minorHAnsi" w:hAnsiTheme="minorHAnsi" w:cstheme="minorHAnsi"/>
          <w:szCs w:val="21"/>
        </w:rPr>
        <w:t>https://tickettowork.org.au/media/uploads/2020/03/03/ticket-to-work-post-school-outcomes-final-2019.pdf</w:t>
      </w:r>
    </w:p>
    <w:bookmarkEnd w:id="166"/>
    <w:bookmarkEnd w:id="167"/>
    <w:p w14:paraId="21F8C8C1" w14:textId="23FEC8B8" w:rsidR="003F7BD0" w:rsidRPr="00C85109" w:rsidRDefault="003F7BD0" w:rsidP="003F7BD0">
      <w:pPr>
        <w:spacing w:before="0" w:after="120" w:line="276" w:lineRule="auto"/>
        <w:ind w:left="851" w:hanging="491"/>
        <w:rPr>
          <w:rFonts w:asciiTheme="minorHAnsi" w:hAnsiTheme="minorHAnsi" w:cstheme="minorHAnsi"/>
          <w:szCs w:val="21"/>
        </w:rPr>
      </w:pPr>
      <w:r w:rsidRPr="00C85109">
        <w:rPr>
          <w:rFonts w:asciiTheme="minorHAnsi" w:hAnsiTheme="minorHAnsi" w:cstheme="minorHAnsi"/>
          <w:szCs w:val="21"/>
        </w:rPr>
        <w:t xml:space="preserve">Australian Bureau of Statistics. (2012). </w:t>
      </w:r>
      <w:r w:rsidRPr="00C85109">
        <w:rPr>
          <w:rFonts w:asciiTheme="minorHAnsi" w:hAnsiTheme="minorHAnsi" w:cstheme="minorHAnsi"/>
          <w:i/>
          <w:iCs/>
          <w:szCs w:val="21"/>
        </w:rPr>
        <w:t xml:space="preserve">Intellectual </w:t>
      </w:r>
      <w:r w:rsidR="00212D35" w:rsidRPr="00C85109">
        <w:rPr>
          <w:rFonts w:asciiTheme="minorHAnsi" w:hAnsiTheme="minorHAnsi" w:cstheme="minorHAnsi"/>
          <w:i/>
          <w:iCs/>
          <w:szCs w:val="21"/>
        </w:rPr>
        <w:t>d</w:t>
      </w:r>
      <w:r w:rsidRPr="00C85109">
        <w:rPr>
          <w:rFonts w:asciiTheme="minorHAnsi" w:hAnsiTheme="minorHAnsi" w:cstheme="minorHAnsi"/>
          <w:i/>
          <w:iCs/>
          <w:szCs w:val="21"/>
        </w:rPr>
        <w:t xml:space="preserve">isability, Australia, 2012 </w:t>
      </w:r>
      <w:r w:rsidRPr="00C85109">
        <w:rPr>
          <w:rFonts w:asciiTheme="minorHAnsi" w:hAnsiTheme="minorHAnsi" w:cstheme="minorHAnsi"/>
          <w:szCs w:val="21"/>
        </w:rPr>
        <w:t>(</w:t>
      </w:r>
      <w:r w:rsidR="0064723B" w:rsidRPr="00C85109">
        <w:rPr>
          <w:rFonts w:asciiTheme="minorHAnsi" w:hAnsiTheme="minorHAnsi" w:cstheme="minorHAnsi"/>
          <w:szCs w:val="21"/>
        </w:rPr>
        <w:t>Cat. n</w:t>
      </w:r>
      <w:r w:rsidRPr="00C85109">
        <w:rPr>
          <w:rFonts w:asciiTheme="minorHAnsi" w:hAnsiTheme="minorHAnsi" w:cstheme="minorHAnsi"/>
          <w:szCs w:val="21"/>
        </w:rPr>
        <w:t xml:space="preserve">o. 4433.0.55.003). </w:t>
      </w:r>
      <w:r w:rsidR="00746569" w:rsidRPr="00C85109">
        <w:rPr>
          <w:rFonts w:asciiTheme="minorHAnsi" w:hAnsiTheme="minorHAnsi" w:cstheme="minorHAnsi"/>
          <w:szCs w:val="21"/>
        </w:rPr>
        <w:t>https://www.abs.gov.au/ausstats/abs@.nsf/Lookup/4433.0.55.003main+features452012</w:t>
      </w:r>
    </w:p>
    <w:p w14:paraId="52AF3921" w14:textId="5FB2A2C0" w:rsidR="00E35816" w:rsidRPr="00C85109" w:rsidRDefault="00E35816" w:rsidP="00CE427B">
      <w:pPr>
        <w:spacing w:before="0" w:after="120" w:line="276" w:lineRule="auto"/>
        <w:ind w:left="851" w:hanging="491"/>
        <w:rPr>
          <w:rFonts w:asciiTheme="minorHAnsi" w:hAnsiTheme="minorHAnsi" w:cstheme="minorHAnsi"/>
          <w:szCs w:val="21"/>
        </w:rPr>
      </w:pPr>
      <w:r w:rsidRPr="00C85109">
        <w:rPr>
          <w:rFonts w:asciiTheme="minorHAnsi" w:hAnsiTheme="minorHAnsi" w:cstheme="minorHAnsi"/>
          <w:szCs w:val="21"/>
        </w:rPr>
        <w:t>Australian Bureau of Statistics</w:t>
      </w:r>
      <w:r w:rsidR="00FC1D00" w:rsidRPr="00C85109">
        <w:rPr>
          <w:rFonts w:asciiTheme="minorHAnsi" w:hAnsiTheme="minorHAnsi" w:cstheme="minorHAnsi"/>
          <w:szCs w:val="21"/>
        </w:rPr>
        <w:t>.</w:t>
      </w:r>
      <w:r w:rsidRPr="00C85109">
        <w:rPr>
          <w:rFonts w:asciiTheme="minorHAnsi" w:hAnsiTheme="minorHAnsi" w:cstheme="minorHAnsi"/>
          <w:szCs w:val="21"/>
        </w:rPr>
        <w:t xml:space="preserve"> (updated 2015)</w:t>
      </w:r>
      <w:r w:rsidR="00435848" w:rsidRPr="00C85109">
        <w:rPr>
          <w:rFonts w:asciiTheme="minorHAnsi" w:hAnsiTheme="minorHAnsi" w:cstheme="minorHAnsi"/>
          <w:szCs w:val="21"/>
        </w:rPr>
        <w:t>.</w:t>
      </w:r>
      <w:r w:rsidRPr="00C85109">
        <w:rPr>
          <w:rFonts w:asciiTheme="minorHAnsi" w:hAnsiTheme="minorHAnsi" w:cstheme="minorHAnsi"/>
          <w:szCs w:val="21"/>
        </w:rPr>
        <w:t xml:space="preserve"> </w:t>
      </w:r>
      <w:r w:rsidRPr="00C85109">
        <w:rPr>
          <w:rFonts w:asciiTheme="minorHAnsi" w:hAnsiTheme="minorHAnsi" w:cstheme="minorHAnsi"/>
          <w:i/>
          <w:iCs/>
          <w:szCs w:val="21"/>
        </w:rPr>
        <w:t xml:space="preserve">Disability and </w:t>
      </w:r>
      <w:proofErr w:type="spellStart"/>
      <w:r w:rsidR="0024664C" w:rsidRPr="00C85109">
        <w:rPr>
          <w:rFonts w:asciiTheme="minorHAnsi" w:hAnsiTheme="minorHAnsi" w:cstheme="minorHAnsi"/>
          <w:i/>
          <w:iCs/>
          <w:szCs w:val="21"/>
        </w:rPr>
        <w:t>labour</w:t>
      </w:r>
      <w:proofErr w:type="spellEnd"/>
      <w:r w:rsidR="0024664C" w:rsidRPr="00C85109">
        <w:rPr>
          <w:rFonts w:asciiTheme="minorHAnsi" w:hAnsiTheme="minorHAnsi" w:cstheme="minorHAnsi"/>
          <w:i/>
          <w:iCs/>
          <w:szCs w:val="21"/>
        </w:rPr>
        <w:t xml:space="preserve"> force participation</w:t>
      </w:r>
      <w:r w:rsidRPr="00C85109">
        <w:rPr>
          <w:rFonts w:asciiTheme="minorHAnsi" w:hAnsiTheme="minorHAnsi" w:cstheme="minorHAnsi"/>
          <w:i/>
          <w:iCs/>
          <w:szCs w:val="21"/>
        </w:rPr>
        <w:t>, 2012</w:t>
      </w:r>
      <w:r w:rsidR="0020567E" w:rsidRPr="00C85109">
        <w:rPr>
          <w:rFonts w:asciiTheme="minorHAnsi" w:hAnsiTheme="minorHAnsi" w:cstheme="minorHAnsi"/>
          <w:szCs w:val="21"/>
        </w:rPr>
        <w:t xml:space="preserve"> (</w:t>
      </w:r>
      <w:r w:rsidR="0064723B" w:rsidRPr="00C85109">
        <w:rPr>
          <w:rFonts w:asciiTheme="minorHAnsi" w:hAnsiTheme="minorHAnsi" w:cstheme="minorHAnsi"/>
          <w:szCs w:val="21"/>
        </w:rPr>
        <w:t xml:space="preserve">Cat. </w:t>
      </w:r>
      <w:r w:rsidR="005A64A2" w:rsidRPr="00C85109">
        <w:rPr>
          <w:rFonts w:asciiTheme="minorHAnsi" w:hAnsiTheme="minorHAnsi" w:cstheme="minorHAnsi"/>
          <w:szCs w:val="21"/>
        </w:rPr>
        <w:t>n</w:t>
      </w:r>
      <w:r w:rsidR="0020567E" w:rsidRPr="00C85109">
        <w:rPr>
          <w:rFonts w:asciiTheme="minorHAnsi" w:hAnsiTheme="minorHAnsi" w:cstheme="minorHAnsi"/>
          <w:szCs w:val="21"/>
        </w:rPr>
        <w:t xml:space="preserve">o. </w:t>
      </w:r>
      <w:r w:rsidR="00817FFA" w:rsidRPr="00C85109">
        <w:rPr>
          <w:rFonts w:asciiTheme="minorHAnsi" w:hAnsiTheme="minorHAnsi" w:cstheme="minorHAnsi"/>
          <w:szCs w:val="21"/>
        </w:rPr>
        <w:t xml:space="preserve">4433.0.55.006). </w:t>
      </w:r>
      <w:r w:rsidRPr="00C85109">
        <w:rPr>
          <w:rFonts w:asciiTheme="minorHAnsi" w:hAnsiTheme="minorHAnsi" w:cstheme="minorHAnsi"/>
          <w:szCs w:val="21"/>
        </w:rPr>
        <w:t>https://www.abs.gov.au/ausstats/abs@.nsf/mf/4433.0.55.006</w:t>
      </w:r>
    </w:p>
    <w:p w14:paraId="682234C6" w14:textId="4C57EA7E" w:rsidR="003F7BD0" w:rsidRPr="00C85109" w:rsidRDefault="003F7BD0" w:rsidP="003F7BD0">
      <w:pPr>
        <w:snapToGrid w:val="0"/>
        <w:spacing w:before="0" w:after="120" w:line="276" w:lineRule="auto"/>
        <w:ind w:left="851" w:hanging="491"/>
        <w:rPr>
          <w:rFonts w:asciiTheme="minorHAnsi" w:hAnsiTheme="minorHAnsi" w:cstheme="minorHAnsi"/>
          <w:szCs w:val="21"/>
        </w:rPr>
      </w:pPr>
      <w:bookmarkStart w:id="168" w:name="_Hlk41240216"/>
      <w:r w:rsidRPr="00C85109">
        <w:rPr>
          <w:rFonts w:asciiTheme="minorHAnsi" w:hAnsiTheme="minorHAnsi" w:cstheme="minorHAnsi"/>
          <w:szCs w:val="21"/>
        </w:rPr>
        <w:t xml:space="preserve">Australian Bureau of Statistics. (2019). </w:t>
      </w:r>
      <w:r w:rsidRPr="00C85109">
        <w:rPr>
          <w:rFonts w:asciiTheme="minorHAnsi" w:hAnsiTheme="minorHAnsi" w:cstheme="minorHAnsi"/>
          <w:i/>
          <w:szCs w:val="21"/>
        </w:rPr>
        <w:t>Schools Australia, 2018</w:t>
      </w:r>
      <w:r w:rsidRPr="00C85109">
        <w:rPr>
          <w:rFonts w:asciiTheme="minorHAnsi" w:hAnsiTheme="minorHAnsi" w:cstheme="minorHAnsi"/>
          <w:szCs w:val="21"/>
        </w:rPr>
        <w:t xml:space="preserve"> (</w:t>
      </w:r>
      <w:r w:rsidR="005A64A2" w:rsidRPr="00C85109">
        <w:rPr>
          <w:rFonts w:asciiTheme="minorHAnsi" w:hAnsiTheme="minorHAnsi" w:cstheme="minorHAnsi"/>
          <w:szCs w:val="21"/>
        </w:rPr>
        <w:t>Cat. n</w:t>
      </w:r>
      <w:r w:rsidRPr="00C85109">
        <w:rPr>
          <w:rFonts w:asciiTheme="minorHAnsi" w:hAnsiTheme="minorHAnsi" w:cstheme="minorHAnsi"/>
          <w:szCs w:val="21"/>
        </w:rPr>
        <w:t xml:space="preserve">o. 4221.0). </w:t>
      </w:r>
      <w:r w:rsidR="008871EC" w:rsidRPr="00C85109">
        <w:rPr>
          <w:rFonts w:asciiTheme="minorHAnsi" w:hAnsiTheme="minorHAnsi" w:cstheme="minorHAnsi"/>
          <w:szCs w:val="21"/>
        </w:rPr>
        <w:t>https://www.abs.gov.au/AUSSTATS/abs@.nsf/7d12b0f6763c78caca257061001cc588/027b82b2c1b54a59ca2579c700118e41!OpenDocument</w:t>
      </w:r>
    </w:p>
    <w:p w14:paraId="272F8121" w14:textId="51DA7DD9" w:rsidR="00E35816" w:rsidRPr="00C85109" w:rsidRDefault="00E35816" w:rsidP="00CE427B">
      <w:pPr>
        <w:pStyle w:val="EndNoteBibliography"/>
        <w:spacing w:after="120" w:line="276" w:lineRule="auto"/>
        <w:ind w:left="851" w:hanging="491"/>
        <w:rPr>
          <w:rFonts w:asciiTheme="minorHAnsi" w:hAnsiTheme="minorHAnsi" w:cstheme="minorHAnsi"/>
          <w:sz w:val="21"/>
          <w:szCs w:val="21"/>
        </w:rPr>
      </w:pPr>
      <w:r w:rsidRPr="00C85109">
        <w:rPr>
          <w:rFonts w:asciiTheme="minorHAnsi" w:hAnsiTheme="minorHAnsi" w:cstheme="minorHAnsi"/>
          <w:sz w:val="21"/>
          <w:szCs w:val="21"/>
        </w:rPr>
        <w:t>Australian Federation of Disability Organisations</w:t>
      </w:r>
      <w:r w:rsidR="00435848" w:rsidRPr="00C85109">
        <w:rPr>
          <w:rFonts w:asciiTheme="minorHAnsi" w:hAnsiTheme="minorHAnsi" w:cstheme="minorHAnsi"/>
          <w:sz w:val="21"/>
          <w:szCs w:val="21"/>
        </w:rPr>
        <w:t>.</w:t>
      </w:r>
      <w:r w:rsidRPr="00C85109">
        <w:rPr>
          <w:rFonts w:asciiTheme="minorHAnsi" w:hAnsiTheme="minorHAnsi" w:cstheme="minorHAnsi"/>
          <w:sz w:val="21"/>
          <w:szCs w:val="21"/>
        </w:rPr>
        <w:t xml:space="preserve"> (2018)</w:t>
      </w:r>
      <w:r w:rsidR="00435848" w:rsidRPr="00C85109">
        <w:rPr>
          <w:rFonts w:asciiTheme="minorHAnsi" w:hAnsiTheme="minorHAnsi" w:cstheme="minorHAnsi"/>
          <w:sz w:val="21"/>
          <w:szCs w:val="21"/>
        </w:rPr>
        <w:t>.</w:t>
      </w:r>
      <w:r w:rsidRPr="00C85109">
        <w:rPr>
          <w:rFonts w:asciiTheme="minorHAnsi" w:hAnsiTheme="minorHAnsi" w:cstheme="minorHAnsi"/>
          <w:sz w:val="21"/>
          <w:szCs w:val="21"/>
        </w:rPr>
        <w:t xml:space="preserve"> </w:t>
      </w:r>
      <w:r w:rsidRPr="00C85109">
        <w:rPr>
          <w:rFonts w:asciiTheme="minorHAnsi" w:hAnsiTheme="minorHAnsi" w:cstheme="minorHAnsi"/>
          <w:i/>
          <w:iCs/>
          <w:sz w:val="21"/>
          <w:szCs w:val="21"/>
        </w:rPr>
        <w:t xml:space="preserve">AFDO – Position </w:t>
      </w:r>
      <w:r w:rsidR="0024664C" w:rsidRPr="00C85109">
        <w:rPr>
          <w:rFonts w:asciiTheme="minorHAnsi" w:hAnsiTheme="minorHAnsi" w:cstheme="minorHAnsi"/>
          <w:i/>
          <w:iCs/>
          <w:sz w:val="21"/>
          <w:szCs w:val="21"/>
        </w:rPr>
        <w:t>paper on the future of supported employment</w:t>
      </w:r>
      <w:r w:rsidR="00173B48" w:rsidRPr="00C85109">
        <w:rPr>
          <w:rFonts w:asciiTheme="minorHAnsi" w:hAnsiTheme="minorHAnsi" w:cstheme="minorHAnsi"/>
          <w:i/>
          <w:iCs/>
          <w:sz w:val="21"/>
          <w:szCs w:val="21"/>
        </w:rPr>
        <w:t xml:space="preserve">. </w:t>
      </w:r>
      <w:r w:rsidR="008C172D" w:rsidRPr="00C85109">
        <w:rPr>
          <w:rFonts w:asciiTheme="minorHAnsi" w:hAnsiTheme="minorHAnsi" w:cstheme="minorHAnsi"/>
          <w:sz w:val="21"/>
          <w:szCs w:val="21"/>
        </w:rPr>
        <w:t>https://engage.dss.gov.au/wp-content/uploads/2018/03/AFDO-Future-of-Supported-Employment-Paper-2018-03-FINAL.pdf</w:t>
      </w:r>
    </w:p>
    <w:p w14:paraId="0CA2F4E6" w14:textId="07D7299B" w:rsidR="00E35816" w:rsidRPr="00C85109" w:rsidRDefault="00E35816" w:rsidP="00CE427B">
      <w:pPr>
        <w:spacing w:before="0" w:after="120" w:line="276" w:lineRule="auto"/>
        <w:ind w:left="851" w:hanging="491"/>
        <w:rPr>
          <w:rFonts w:asciiTheme="minorHAnsi" w:hAnsiTheme="minorHAnsi" w:cstheme="minorHAnsi"/>
          <w:szCs w:val="21"/>
        </w:rPr>
      </w:pPr>
      <w:r w:rsidRPr="00C85109">
        <w:rPr>
          <w:rFonts w:asciiTheme="minorHAnsi" w:hAnsiTheme="minorHAnsi" w:cstheme="minorHAnsi"/>
          <w:szCs w:val="21"/>
        </w:rPr>
        <w:t>Australian Human Rights Commission</w:t>
      </w:r>
      <w:r w:rsidR="00435848" w:rsidRPr="00C85109">
        <w:rPr>
          <w:rFonts w:asciiTheme="minorHAnsi" w:hAnsiTheme="minorHAnsi" w:cstheme="minorHAnsi"/>
          <w:szCs w:val="21"/>
        </w:rPr>
        <w:t>.</w:t>
      </w:r>
      <w:r w:rsidRPr="00C85109">
        <w:rPr>
          <w:rFonts w:asciiTheme="minorHAnsi" w:hAnsiTheme="minorHAnsi" w:cstheme="minorHAnsi"/>
          <w:szCs w:val="21"/>
        </w:rPr>
        <w:t xml:space="preserve"> (2016)</w:t>
      </w:r>
      <w:r w:rsidR="00435848" w:rsidRPr="00C85109">
        <w:rPr>
          <w:rFonts w:asciiTheme="minorHAnsi" w:hAnsiTheme="minorHAnsi" w:cstheme="minorHAnsi"/>
          <w:szCs w:val="21"/>
        </w:rPr>
        <w:t>.</w:t>
      </w:r>
      <w:r w:rsidRPr="00C85109">
        <w:rPr>
          <w:rFonts w:asciiTheme="minorHAnsi" w:hAnsiTheme="minorHAnsi" w:cstheme="minorHAnsi"/>
          <w:szCs w:val="21"/>
        </w:rPr>
        <w:t xml:space="preserve"> </w:t>
      </w:r>
      <w:r w:rsidRPr="00C85109">
        <w:rPr>
          <w:rFonts w:asciiTheme="minorHAnsi" w:hAnsiTheme="minorHAnsi" w:cstheme="minorHAnsi"/>
          <w:i/>
          <w:iCs/>
          <w:szCs w:val="21"/>
        </w:rPr>
        <w:t xml:space="preserve">Willing to </w:t>
      </w:r>
      <w:r w:rsidR="00A8335A" w:rsidRPr="00C85109">
        <w:rPr>
          <w:rFonts w:asciiTheme="minorHAnsi" w:hAnsiTheme="minorHAnsi" w:cstheme="minorHAnsi"/>
          <w:i/>
          <w:iCs/>
          <w:szCs w:val="21"/>
        </w:rPr>
        <w:t>w</w:t>
      </w:r>
      <w:r w:rsidRPr="00C85109">
        <w:rPr>
          <w:rFonts w:asciiTheme="minorHAnsi" w:hAnsiTheme="minorHAnsi" w:cstheme="minorHAnsi"/>
          <w:i/>
          <w:iCs/>
          <w:szCs w:val="21"/>
        </w:rPr>
        <w:t xml:space="preserve">ork: National </w:t>
      </w:r>
      <w:r w:rsidR="00A8335A" w:rsidRPr="00C85109">
        <w:rPr>
          <w:rFonts w:asciiTheme="minorHAnsi" w:hAnsiTheme="minorHAnsi" w:cstheme="minorHAnsi"/>
          <w:i/>
          <w:iCs/>
          <w:szCs w:val="21"/>
        </w:rPr>
        <w:t xml:space="preserve">inquiry into employment discrimination against older </w:t>
      </w:r>
      <w:r w:rsidRPr="00C85109">
        <w:rPr>
          <w:rFonts w:asciiTheme="minorHAnsi" w:hAnsiTheme="minorHAnsi" w:cstheme="minorHAnsi"/>
          <w:i/>
          <w:iCs/>
          <w:szCs w:val="21"/>
        </w:rPr>
        <w:t xml:space="preserve">Australians and Australians with </w:t>
      </w:r>
      <w:r w:rsidR="00A8335A" w:rsidRPr="00C85109">
        <w:rPr>
          <w:rFonts w:asciiTheme="minorHAnsi" w:hAnsiTheme="minorHAnsi" w:cstheme="minorHAnsi"/>
          <w:i/>
          <w:iCs/>
          <w:szCs w:val="21"/>
        </w:rPr>
        <w:t>d</w:t>
      </w:r>
      <w:r w:rsidRPr="00C85109">
        <w:rPr>
          <w:rFonts w:asciiTheme="minorHAnsi" w:hAnsiTheme="minorHAnsi" w:cstheme="minorHAnsi"/>
          <w:i/>
          <w:iCs/>
          <w:szCs w:val="21"/>
        </w:rPr>
        <w:t>isability</w:t>
      </w:r>
      <w:r w:rsidR="00A8335A" w:rsidRPr="00C85109">
        <w:rPr>
          <w:rFonts w:asciiTheme="minorHAnsi" w:hAnsiTheme="minorHAnsi" w:cstheme="minorHAnsi"/>
          <w:szCs w:val="21"/>
        </w:rPr>
        <w:t xml:space="preserve">. </w:t>
      </w:r>
      <w:r w:rsidR="005A2777" w:rsidRPr="00C85109">
        <w:rPr>
          <w:rFonts w:asciiTheme="minorHAnsi" w:hAnsiTheme="minorHAnsi" w:cstheme="minorHAnsi"/>
          <w:szCs w:val="21"/>
        </w:rPr>
        <w:t>https://humanrights.gov.au/sites/default/files/document/publication/WTW_2016_Full_Report_AHRC_ac.pdf</w:t>
      </w:r>
    </w:p>
    <w:p w14:paraId="6299DD91" w14:textId="13AFD39D" w:rsidR="00E35816" w:rsidRPr="00D151B9" w:rsidRDefault="00E35816" w:rsidP="00CE427B">
      <w:pPr>
        <w:spacing w:before="0" w:after="120" w:line="276" w:lineRule="auto"/>
        <w:ind w:left="851" w:hanging="491"/>
        <w:rPr>
          <w:rFonts w:asciiTheme="minorHAnsi" w:hAnsiTheme="minorHAnsi" w:cstheme="minorHAnsi"/>
          <w:szCs w:val="21"/>
        </w:rPr>
      </w:pPr>
      <w:r w:rsidRPr="00D151B9">
        <w:rPr>
          <w:rFonts w:asciiTheme="minorHAnsi" w:hAnsiTheme="minorHAnsi" w:cstheme="minorHAnsi"/>
          <w:szCs w:val="21"/>
        </w:rPr>
        <w:t xml:space="preserve">Australian Institute of Health and Welfare. (2008). </w:t>
      </w:r>
      <w:r w:rsidRPr="00D151B9">
        <w:rPr>
          <w:rFonts w:asciiTheme="minorHAnsi" w:hAnsiTheme="minorHAnsi" w:cstheme="minorHAnsi"/>
          <w:i/>
          <w:iCs/>
          <w:szCs w:val="21"/>
        </w:rPr>
        <w:t xml:space="preserve">Disability in Australia: </w:t>
      </w:r>
      <w:r w:rsidR="00796F71" w:rsidRPr="00D151B9">
        <w:rPr>
          <w:rFonts w:asciiTheme="minorHAnsi" w:hAnsiTheme="minorHAnsi" w:cstheme="minorHAnsi"/>
          <w:i/>
          <w:iCs/>
          <w:szCs w:val="21"/>
        </w:rPr>
        <w:t>I</w:t>
      </w:r>
      <w:r w:rsidRPr="00D151B9">
        <w:rPr>
          <w:rFonts w:asciiTheme="minorHAnsi" w:hAnsiTheme="minorHAnsi" w:cstheme="minorHAnsi"/>
          <w:i/>
          <w:iCs/>
          <w:szCs w:val="21"/>
        </w:rPr>
        <w:t>ntellectual disability</w:t>
      </w:r>
      <w:r w:rsidR="00E666C9" w:rsidRPr="00D151B9">
        <w:rPr>
          <w:rFonts w:asciiTheme="minorHAnsi" w:hAnsiTheme="minorHAnsi" w:cstheme="minorHAnsi"/>
          <w:i/>
          <w:iCs/>
          <w:szCs w:val="21"/>
        </w:rPr>
        <w:t xml:space="preserve"> </w:t>
      </w:r>
      <w:r w:rsidR="00E666C9" w:rsidRPr="00D151B9">
        <w:rPr>
          <w:rFonts w:asciiTheme="minorHAnsi" w:hAnsiTheme="minorHAnsi" w:cstheme="minorHAnsi"/>
          <w:szCs w:val="21"/>
        </w:rPr>
        <w:t>(</w:t>
      </w:r>
      <w:r w:rsidR="008902F5" w:rsidRPr="00D151B9">
        <w:rPr>
          <w:rFonts w:asciiTheme="minorHAnsi" w:hAnsiTheme="minorHAnsi" w:cstheme="minorHAnsi"/>
          <w:szCs w:val="21"/>
        </w:rPr>
        <w:t>Cat. n</w:t>
      </w:r>
      <w:r w:rsidR="00E666C9" w:rsidRPr="00D151B9">
        <w:rPr>
          <w:rFonts w:asciiTheme="minorHAnsi" w:hAnsiTheme="minorHAnsi" w:cstheme="minorHAnsi"/>
          <w:szCs w:val="21"/>
        </w:rPr>
        <w:t>o. A</w:t>
      </w:r>
      <w:r w:rsidR="00EC3114" w:rsidRPr="00D151B9">
        <w:rPr>
          <w:rFonts w:asciiTheme="minorHAnsi" w:hAnsiTheme="minorHAnsi" w:cstheme="minorHAnsi"/>
          <w:szCs w:val="21"/>
        </w:rPr>
        <w:t>US</w:t>
      </w:r>
      <w:r w:rsidR="00E666C9" w:rsidRPr="00D151B9">
        <w:rPr>
          <w:rFonts w:asciiTheme="minorHAnsi" w:hAnsiTheme="minorHAnsi" w:cstheme="minorHAnsi"/>
          <w:szCs w:val="21"/>
        </w:rPr>
        <w:t xml:space="preserve"> 110)</w:t>
      </w:r>
      <w:r w:rsidRPr="00D151B9">
        <w:rPr>
          <w:rFonts w:asciiTheme="minorHAnsi" w:hAnsiTheme="minorHAnsi" w:cstheme="minorHAnsi"/>
          <w:szCs w:val="21"/>
        </w:rPr>
        <w:t xml:space="preserve">. </w:t>
      </w:r>
      <w:r w:rsidR="00D66CC3" w:rsidRPr="00D151B9">
        <w:rPr>
          <w:rFonts w:asciiTheme="minorHAnsi" w:hAnsiTheme="minorHAnsi" w:cstheme="minorHAnsi"/>
          <w:szCs w:val="21"/>
        </w:rPr>
        <w:t>https://www.aihw.gov.au/getmedia/5a1b2a34-78bb-4696-a975-3121658a9505/bulletin67.pdf</w:t>
      </w:r>
    </w:p>
    <w:bookmarkEnd w:id="168"/>
    <w:p w14:paraId="43D5DE7D" w14:textId="5AF0A65E" w:rsidR="00E35816" w:rsidRPr="00D151B9" w:rsidRDefault="00E35816" w:rsidP="00CE427B">
      <w:pPr>
        <w:snapToGrid w:val="0"/>
        <w:spacing w:before="0" w:after="120" w:line="276" w:lineRule="auto"/>
        <w:ind w:left="851" w:hanging="491"/>
        <w:rPr>
          <w:rFonts w:asciiTheme="minorHAnsi" w:hAnsiTheme="minorHAnsi" w:cstheme="minorHAnsi"/>
          <w:szCs w:val="21"/>
        </w:rPr>
      </w:pPr>
      <w:r w:rsidRPr="00D151B9">
        <w:rPr>
          <w:rFonts w:asciiTheme="minorHAnsi" w:hAnsiTheme="minorHAnsi" w:cstheme="minorHAnsi"/>
          <w:szCs w:val="21"/>
        </w:rPr>
        <w:t>Australian Institute of Health and Welfare</w:t>
      </w:r>
      <w:r w:rsidR="00435848" w:rsidRPr="00D151B9">
        <w:rPr>
          <w:rFonts w:asciiTheme="minorHAnsi" w:hAnsiTheme="minorHAnsi" w:cstheme="minorHAnsi"/>
          <w:szCs w:val="21"/>
        </w:rPr>
        <w:t>.</w:t>
      </w:r>
      <w:r w:rsidRPr="00D151B9">
        <w:rPr>
          <w:rFonts w:asciiTheme="minorHAnsi" w:hAnsiTheme="minorHAnsi" w:cstheme="minorHAnsi"/>
          <w:szCs w:val="21"/>
        </w:rPr>
        <w:t xml:space="preserve"> (2017</w:t>
      </w:r>
      <w:r w:rsidR="00044F30" w:rsidRPr="00D151B9">
        <w:rPr>
          <w:rFonts w:asciiTheme="minorHAnsi" w:hAnsiTheme="minorHAnsi" w:cstheme="minorHAnsi"/>
          <w:szCs w:val="21"/>
        </w:rPr>
        <w:t>a</w:t>
      </w:r>
      <w:r w:rsidRPr="00D151B9">
        <w:rPr>
          <w:rFonts w:asciiTheme="minorHAnsi" w:hAnsiTheme="minorHAnsi" w:cstheme="minorHAnsi"/>
          <w:szCs w:val="21"/>
        </w:rPr>
        <w:t>).</w:t>
      </w:r>
      <w:r w:rsidRPr="00D151B9">
        <w:rPr>
          <w:rFonts w:asciiTheme="minorHAnsi" w:hAnsiTheme="minorHAnsi" w:cstheme="minorHAnsi"/>
          <w:i/>
          <w:iCs/>
          <w:szCs w:val="21"/>
        </w:rPr>
        <w:t xml:space="preserve"> Disability in Australia: </w:t>
      </w:r>
      <w:r w:rsidR="0029593A" w:rsidRPr="00D151B9">
        <w:rPr>
          <w:rFonts w:asciiTheme="minorHAnsi" w:hAnsiTheme="minorHAnsi" w:cstheme="minorHAnsi"/>
          <w:i/>
          <w:iCs/>
          <w:szCs w:val="21"/>
        </w:rPr>
        <w:t>C</w:t>
      </w:r>
      <w:r w:rsidRPr="00D151B9">
        <w:rPr>
          <w:rFonts w:asciiTheme="minorHAnsi" w:hAnsiTheme="minorHAnsi" w:cstheme="minorHAnsi"/>
          <w:i/>
          <w:iCs/>
          <w:szCs w:val="21"/>
        </w:rPr>
        <w:t>hanges over time in inclusion and participation in education</w:t>
      </w:r>
      <w:r w:rsidR="00211A9E" w:rsidRPr="00D151B9">
        <w:rPr>
          <w:rFonts w:asciiTheme="minorHAnsi" w:hAnsiTheme="minorHAnsi" w:cstheme="minorHAnsi"/>
          <w:szCs w:val="21"/>
        </w:rPr>
        <w:t xml:space="preserve"> (C</w:t>
      </w:r>
      <w:r w:rsidRPr="00D151B9">
        <w:rPr>
          <w:rFonts w:asciiTheme="minorHAnsi" w:hAnsiTheme="minorHAnsi" w:cstheme="minorHAnsi"/>
          <w:szCs w:val="21"/>
        </w:rPr>
        <w:t>at. no. DIS 69</w:t>
      </w:r>
      <w:r w:rsidR="00211A9E" w:rsidRPr="00D151B9">
        <w:rPr>
          <w:rFonts w:asciiTheme="minorHAnsi" w:hAnsiTheme="minorHAnsi" w:cstheme="minorHAnsi"/>
          <w:szCs w:val="21"/>
        </w:rPr>
        <w:t>)</w:t>
      </w:r>
      <w:r w:rsidRPr="00D151B9">
        <w:rPr>
          <w:rFonts w:asciiTheme="minorHAnsi" w:hAnsiTheme="minorHAnsi" w:cstheme="minorHAnsi"/>
          <w:szCs w:val="21"/>
        </w:rPr>
        <w:t xml:space="preserve">. </w:t>
      </w:r>
      <w:r w:rsidR="00BB0AC5" w:rsidRPr="00D151B9">
        <w:rPr>
          <w:rFonts w:asciiTheme="minorHAnsi" w:hAnsiTheme="minorHAnsi" w:cstheme="minorHAnsi"/>
          <w:szCs w:val="21"/>
        </w:rPr>
        <w:lastRenderedPageBreak/>
        <w:t>https://www.aihw.gov.au/getmedia/34f09557-0acf-4adf-837d-eada7b74d466/Education-20905.pdf.aspx</w:t>
      </w:r>
    </w:p>
    <w:p w14:paraId="7EC540F1" w14:textId="03F4A1D2" w:rsidR="00E35816" w:rsidRPr="00D151B9" w:rsidRDefault="00E35816" w:rsidP="00CE427B">
      <w:pPr>
        <w:snapToGrid w:val="0"/>
        <w:spacing w:before="0" w:after="120" w:line="276" w:lineRule="auto"/>
        <w:ind w:left="851" w:hanging="491"/>
        <w:rPr>
          <w:rFonts w:asciiTheme="minorHAnsi" w:hAnsiTheme="minorHAnsi" w:cstheme="minorHAnsi"/>
          <w:szCs w:val="21"/>
        </w:rPr>
      </w:pPr>
      <w:r w:rsidRPr="00D151B9">
        <w:rPr>
          <w:rFonts w:asciiTheme="minorHAnsi" w:hAnsiTheme="minorHAnsi" w:cstheme="minorHAnsi"/>
          <w:szCs w:val="21"/>
        </w:rPr>
        <w:t>Australian Institute of Health and Welfare</w:t>
      </w:r>
      <w:r w:rsidR="00435848" w:rsidRPr="00D151B9">
        <w:rPr>
          <w:rFonts w:asciiTheme="minorHAnsi" w:hAnsiTheme="minorHAnsi" w:cstheme="minorHAnsi"/>
          <w:szCs w:val="21"/>
        </w:rPr>
        <w:t>.</w:t>
      </w:r>
      <w:r w:rsidRPr="00D151B9">
        <w:rPr>
          <w:rFonts w:asciiTheme="minorHAnsi" w:hAnsiTheme="minorHAnsi" w:cstheme="minorHAnsi"/>
          <w:szCs w:val="21"/>
        </w:rPr>
        <w:t xml:space="preserve"> (2017</w:t>
      </w:r>
      <w:r w:rsidR="00044F30" w:rsidRPr="00D151B9">
        <w:rPr>
          <w:rFonts w:asciiTheme="minorHAnsi" w:hAnsiTheme="minorHAnsi" w:cstheme="minorHAnsi"/>
          <w:szCs w:val="21"/>
        </w:rPr>
        <w:t>b</w:t>
      </w:r>
      <w:r w:rsidRPr="00D151B9">
        <w:rPr>
          <w:rFonts w:asciiTheme="minorHAnsi" w:hAnsiTheme="minorHAnsi" w:cstheme="minorHAnsi"/>
          <w:szCs w:val="21"/>
        </w:rPr>
        <w:t xml:space="preserve">). </w:t>
      </w:r>
      <w:r w:rsidRPr="00D151B9">
        <w:rPr>
          <w:rFonts w:asciiTheme="minorHAnsi" w:hAnsiTheme="minorHAnsi" w:cstheme="minorHAnsi"/>
          <w:i/>
          <w:iCs/>
          <w:szCs w:val="21"/>
        </w:rPr>
        <w:t xml:space="preserve">Disability in Australia: </w:t>
      </w:r>
      <w:r w:rsidR="0029593A" w:rsidRPr="00D151B9">
        <w:rPr>
          <w:rFonts w:asciiTheme="minorHAnsi" w:hAnsiTheme="minorHAnsi" w:cstheme="minorHAnsi"/>
          <w:i/>
          <w:iCs/>
          <w:szCs w:val="21"/>
        </w:rPr>
        <w:t>C</w:t>
      </w:r>
      <w:r w:rsidRPr="00D151B9">
        <w:rPr>
          <w:rFonts w:asciiTheme="minorHAnsi" w:hAnsiTheme="minorHAnsi" w:cstheme="minorHAnsi"/>
          <w:i/>
          <w:iCs/>
          <w:szCs w:val="21"/>
        </w:rPr>
        <w:t>hanges over time in inclusion and participation in employment</w:t>
      </w:r>
      <w:r w:rsidR="009540A8" w:rsidRPr="00D151B9">
        <w:rPr>
          <w:rFonts w:asciiTheme="minorHAnsi" w:hAnsiTheme="minorHAnsi" w:cstheme="minorHAnsi"/>
          <w:i/>
          <w:iCs/>
          <w:szCs w:val="21"/>
        </w:rPr>
        <w:t xml:space="preserve"> </w:t>
      </w:r>
      <w:r w:rsidR="009540A8" w:rsidRPr="00D151B9">
        <w:rPr>
          <w:rFonts w:asciiTheme="minorHAnsi" w:hAnsiTheme="minorHAnsi" w:cstheme="minorHAnsi"/>
          <w:szCs w:val="21"/>
        </w:rPr>
        <w:t xml:space="preserve">(Cat. no. </w:t>
      </w:r>
      <w:r w:rsidR="00211A9E" w:rsidRPr="00D151B9">
        <w:rPr>
          <w:rFonts w:asciiTheme="minorHAnsi" w:hAnsiTheme="minorHAnsi" w:cstheme="minorHAnsi"/>
          <w:szCs w:val="21"/>
        </w:rPr>
        <w:t>DIS 68)</w:t>
      </w:r>
      <w:r w:rsidR="0029593A" w:rsidRPr="00D151B9">
        <w:rPr>
          <w:rFonts w:asciiTheme="minorHAnsi" w:hAnsiTheme="minorHAnsi" w:cstheme="minorHAnsi"/>
          <w:i/>
          <w:iCs/>
          <w:szCs w:val="21"/>
        </w:rPr>
        <w:t>.</w:t>
      </w:r>
      <w:r w:rsidRPr="00D151B9">
        <w:rPr>
          <w:rFonts w:asciiTheme="minorHAnsi" w:hAnsiTheme="minorHAnsi" w:cstheme="minorHAnsi"/>
          <w:szCs w:val="21"/>
        </w:rPr>
        <w:t xml:space="preserve"> https://www.aihw.gov.au/getmedia/f732bc12-1787-4980-a226-303bc201d50a/Employment-20906.pdf</w:t>
      </w:r>
    </w:p>
    <w:p w14:paraId="70594E17" w14:textId="63DD9B0F" w:rsidR="00E35816" w:rsidRPr="00D151B9" w:rsidRDefault="00E35816" w:rsidP="00CE427B">
      <w:pPr>
        <w:spacing w:before="0" w:after="120" w:line="276" w:lineRule="auto"/>
        <w:ind w:left="851" w:hanging="491"/>
        <w:rPr>
          <w:rStyle w:val="Hyperlink"/>
          <w:rFonts w:asciiTheme="minorHAnsi" w:hAnsiTheme="minorHAnsi" w:cstheme="minorHAnsi"/>
          <w:color w:val="auto"/>
          <w:szCs w:val="21"/>
          <w:u w:val="none"/>
        </w:rPr>
      </w:pPr>
      <w:r w:rsidRPr="00D151B9">
        <w:rPr>
          <w:rFonts w:asciiTheme="minorHAnsi" w:hAnsiTheme="minorHAnsi" w:cstheme="minorHAnsi"/>
          <w:szCs w:val="21"/>
        </w:rPr>
        <w:t>Australian Institute of Health and Welfare</w:t>
      </w:r>
      <w:r w:rsidR="00435848" w:rsidRPr="00D151B9">
        <w:rPr>
          <w:rFonts w:asciiTheme="minorHAnsi" w:hAnsiTheme="minorHAnsi" w:cstheme="minorHAnsi"/>
          <w:szCs w:val="21"/>
        </w:rPr>
        <w:t>.</w:t>
      </w:r>
      <w:r w:rsidRPr="00D151B9">
        <w:rPr>
          <w:rFonts w:asciiTheme="minorHAnsi" w:hAnsiTheme="minorHAnsi" w:cstheme="minorHAnsi"/>
          <w:szCs w:val="21"/>
        </w:rPr>
        <w:t xml:space="preserve"> (2019a)</w:t>
      </w:r>
      <w:r w:rsidR="00435848" w:rsidRPr="00D151B9">
        <w:rPr>
          <w:rFonts w:asciiTheme="minorHAnsi" w:hAnsiTheme="minorHAnsi" w:cstheme="minorHAnsi"/>
          <w:szCs w:val="21"/>
        </w:rPr>
        <w:t>.</w:t>
      </w:r>
      <w:r w:rsidRPr="00D151B9">
        <w:rPr>
          <w:rFonts w:asciiTheme="minorHAnsi" w:hAnsiTheme="minorHAnsi" w:cstheme="minorHAnsi"/>
          <w:szCs w:val="21"/>
        </w:rPr>
        <w:t xml:space="preserve"> </w:t>
      </w:r>
      <w:r w:rsidRPr="00D151B9">
        <w:rPr>
          <w:rFonts w:asciiTheme="minorHAnsi" w:hAnsiTheme="minorHAnsi" w:cstheme="minorHAnsi"/>
          <w:i/>
          <w:iCs/>
          <w:szCs w:val="21"/>
        </w:rPr>
        <w:t xml:space="preserve">People with </w:t>
      </w:r>
      <w:r w:rsidR="007D0388" w:rsidRPr="00D151B9">
        <w:rPr>
          <w:rFonts w:asciiTheme="minorHAnsi" w:hAnsiTheme="minorHAnsi" w:cstheme="minorHAnsi"/>
          <w:i/>
          <w:iCs/>
          <w:szCs w:val="21"/>
        </w:rPr>
        <w:t>d</w:t>
      </w:r>
      <w:r w:rsidRPr="00D151B9">
        <w:rPr>
          <w:rFonts w:asciiTheme="minorHAnsi" w:hAnsiTheme="minorHAnsi" w:cstheme="minorHAnsi"/>
          <w:i/>
          <w:iCs/>
          <w:szCs w:val="21"/>
        </w:rPr>
        <w:t>isability in Australia</w:t>
      </w:r>
      <w:r w:rsidR="00161F55" w:rsidRPr="00D151B9">
        <w:rPr>
          <w:rFonts w:asciiTheme="minorHAnsi" w:hAnsiTheme="minorHAnsi" w:cstheme="minorHAnsi"/>
          <w:i/>
          <w:iCs/>
          <w:szCs w:val="21"/>
        </w:rPr>
        <w:t xml:space="preserve"> </w:t>
      </w:r>
      <w:r w:rsidR="00161F55" w:rsidRPr="00D151B9">
        <w:rPr>
          <w:rFonts w:asciiTheme="minorHAnsi" w:hAnsiTheme="minorHAnsi" w:cstheme="minorHAnsi"/>
          <w:szCs w:val="21"/>
        </w:rPr>
        <w:t>(Cat. no. DIS 72).</w:t>
      </w:r>
      <w:r w:rsidRPr="00D151B9">
        <w:rPr>
          <w:rFonts w:asciiTheme="minorHAnsi" w:hAnsiTheme="minorHAnsi" w:cstheme="minorHAnsi"/>
          <w:szCs w:val="21"/>
        </w:rPr>
        <w:t xml:space="preserve"> </w:t>
      </w:r>
      <w:hyperlink r:id="rId28" w:history="1">
        <w:r w:rsidRPr="00D151B9">
          <w:rPr>
            <w:rStyle w:val="Hyperlink"/>
            <w:rFonts w:asciiTheme="minorHAnsi" w:hAnsiTheme="minorHAnsi" w:cstheme="minorHAnsi"/>
            <w:color w:val="auto"/>
            <w:szCs w:val="21"/>
            <w:u w:val="none"/>
          </w:rPr>
          <w:t>https://www.aihw.gov.au/reports/disability/people-with-disability-in-australia/education-and-skills/educational-attainment/highest-level-of-education</w:t>
        </w:r>
      </w:hyperlink>
    </w:p>
    <w:p w14:paraId="2D15C1F7" w14:textId="30737B11" w:rsidR="00E35816" w:rsidRPr="00C85109" w:rsidRDefault="00E35816" w:rsidP="00CE427B">
      <w:pPr>
        <w:spacing w:before="0" w:after="120" w:line="276" w:lineRule="auto"/>
        <w:ind w:left="851" w:hanging="491"/>
        <w:rPr>
          <w:rStyle w:val="Hyperlink"/>
          <w:rFonts w:asciiTheme="minorHAnsi" w:hAnsiTheme="minorHAnsi" w:cstheme="minorHAnsi"/>
          <w:color w:val="auto"/>
          <w:szCs w:val="21"/>
          <w:u w:val="none"/>
        </w:rPr>
      </w:pPr>
      <w:r w:rsidRPr="00D151B9">
        <w:rPr>
          <w:rFonts w:asciiTheme="minorHAnsi" w:hAnsiTheme="minorHAnsi" w:cstheme="minorHAnsi"/>
          <w:szCs w:val="21"/>
        </w:rPr>
        <w:t>Australian Institute of Health and Welfare</w:t>
      </w:r>
      <w:r w:rsidR="00435848" w:rsidRPr="00D151B9">
        <w:rPr>
          <w:rFonts w:asciiTheme="minorHAnsi" w:hAnsiTheme="minorHAnsi" w:cstheme="minorHAnsi"/>
          <w:szCs w:val="21"/>
        </w:rPr>
        <w:t>.</w:t>
      </w:r>
      <w:r w:rsidRPr="00D151B9">
        <w:rPr>
          <w:rFonts w:asciiTheme="minorHAnsi" w:hAnsiTheme="minorHAnsi" w:cstheme="minorHAnsi"/>
          <w:szCs w:val="21"/>
        </w:rPr>
        <w:t xml:space="preserve"> (2019b)</w:t>
      </w:r>
      <w:r w:rsidR="00435848" w:rsidRPr="00D151B9">
        <w:rPr>
          <w:rFonts w:asciiTheme="minorHAnsi" w:hAnsiTheme="minorHAnsi" w:cstheme="minorHAnsi"/>
          <w:szCs w:val="21"/>
        </w:rPr>
        <w:t>.</w:t>
      </w:r>
      <w:r w:rsidRPr="00D151B9">
        <w:rPr>
          <w:rFonts w:asciiTheme="minorHAnsi" w:hAnsiTheme="minorHAnsi" w:cstheme="minorHAnsi"/>
          <w:szCs w:val="21"/>
        </w:rPr>
        <w:t xml:space="preserve"> </w:t>
      </w:r>
      <w:r w:rsidRPr="00D151B9">
        <w:rPr>
          <w:rFonts w:asciiTheme="minorHAnsi" w:hAnsiTheme="minorHAnsi" w:cstheme="minorHAnsi"/>
          <w:i/>
          <w:iCs/>
          <w:szCs w:val="21"/>
        </w:rPr>
        <w:t xml:space="preserve">Secondary education: </w:t>
      </w:r>
      <w:r w:rsidR="00D42EFD" w:rsidRPr="00D151B9">
        <w:rPr>
          <w:rFonts w:asciiTheme="minorHAnsi" w:hAnsiTheme="minorHAnsi" w:cstheme="minorHAnsi"/>
          <w:i/>
          <w:iCs/>
          <w:szCs w:val="21"/>
        </w:rPr>
        <w:t>S</w:t>
      </w:r>
      <w:r w:rsidRPr="00D151B9">
        <w:rPr>
          <w:rFonts w:asciiTheme="minorHAnsi" w:hAnsiTheme="minorHAnsi" w:cstheme="minorHAnsi"/>
          <w:i/>
          <w:iCs/>
          <w:szCs w:val="21"/>
        </w:rPr>
        <w:t>chool retention and completion</w:t>
      </w:r>
      <w:r w:rsidR="00591267" w:rsidRPr="00D151B9">
        <w:rPr>
          <w:rFonts w:asciiTheme="minorHAnsi" w:hAnsiTheme="minorHAnsi" w:cstheme="minorHAnsi"/>
          <w:szCs w:val="21"/>
        </w:rPr>
        <w:t>.</w:t>
      </w:r>
      <w:r w:rsidRPr="00D151B9">
        <w:rPr>
          <w:rFonts w:asciiTheme="minorHAnsi" w:hAnsiTheme="minorHAnsi" w:cstheme="minorHAnsi"/>
          <w:szCs w:val="21"/>
        </w:rPr>
        <w:t xml:space="preserve"> https://www.aihw.gov.au/reports/australias-welfare/secondary-education-school-retention-completion</w:t>
      </w:r>
    </w:p>
    <w:p w14:paraId="692596EF" w14:textId="6239FD3B" w:rsidR="009A096B" w:rsidRPr="00C85109" w:rsidRDefault="009A096B" w:rsidP="009A096B">
      <w:pPr>
        <w:spacing w:before="0" w:after="120" w:line="276" w:lineRule="auto"/>
        <w:ind w:left="851" w:hanging="491"/>
        <w:rPr>
          <w:rFonts w:asciiTheme="minorHAnsi" w:hAnsiTheme="minorHAnsi" w:cstheme="minorHAnsi"/>
          <w:szCs w:val="21"/>
        </w:rPr>
      </w:pPr>
      <w:r w:rsidRPr="00C85109">
        <w:rPr>
          <w:rFonts w:asciiTheme="minorHAnsi" w:hAnsiTheme="minorHAnsi" w:cstheme="minorHAnsi"/>
          <w:szCs w:val="21"/>
        </w:rPr>
        <w:t>Australian Trade and Investment Commission. (</w:t>
      </w:r>
      <w:r w:rsidR="0085797A" w:rsidRPr="00C85109">
        <w:rPr>
          <w:rFonts w:asciiTheme="minorHAnsi" w:hAnsiTheme="minorHAnsi" w:cstheme="minorHAnsi"/>
          <w:szCs w:val="21"/>
        </w:rPr>
        <w:t>n.d.</w:t>
      </w:r>
      <w:r w:rsidRPr="00C85109">
        <w:rPr>
          <w:rFonts w:asciiTheme="minorHAnsi" w:hAnsiTheme="minorHAnsi" w:cstheme="minorHAnsi"/>
          <w:szCs w:val="21"/>
        </w:rPr>
        <w:t xml:space="preserve">). </w:t>
      </w:r>
      <w:r w:rsidRPr="00C85109">
        <w:rPr>
          <w:rFonts w:asciiTheme="minorHAnsi" w:hAnsiTheme="minorHAnsi" w:cstheme="minorHAnsi"/>
          <w:i/>
          <w:iCs/>
          <w:szCs w:val="21"/>
        </w:rPr>
        <w:t>Australian Education System.</w:t>
      </w:r>
      <w:r w:rsidRPr="00C85109">
        <w:rPr>
          <w:rFonts w:asciiTheme="minorHAnsi" w:hAnsiTheme="minorHAnsi" w:cstheme="minorHAnsi"/>
          <w:szCs w:val="21"/>
        </w:rPr>
        <w:t xml:space="preserve"> </w:t>
      </w:r>
      <w:hyperlink r:id="rId29" w:history="1">
        <w:r w:rsidRPr="00C85109">
          <w:rPr>
            <w:rStyle w:val="Hyperlink"/>
            <w:rFonts w:asciiTheme="minorHAnsi" w:hAnsiTheme="minorHAnsi" w:cstheme="minorHAnsi"/>
            <w:color w:val="auto"/>
            <w:szCs w:val="21"/>
            <w:u w:val="none"/>
          </w:rPr>
          <w:t>https://www.studyinaustralia.gov.au/english/australian-education/education-system</w:t>
        </w:r>
      </w:hyperlink>
    </w:p>
    <w:p w14:paraId="7331A492" w14:textId="77777777" w:rsidR="00223BAC" w:rsidRPr="00C85109" w:rsidRDefault="00223BAC" w:rsidP="00223BAC">
      <w:pPr>
        <w:pStyle w:val="EndNoteBibliography"/>
        <w:spacing w:after="120" w:line="276" w:lineRule="auto"/>
        <w:ind w:left="851" w:hanging="491"/>
        <w:rPr>
          <w:rFonts w:asciiTheme="minorHAnsi" w:hAnsiTheme="minorHAnsi" w:cstheme="minorHAnsi"/>
          <w:sz w:val="21"/>
          <w:szCs w:val="21"/>
        </w:rPr>
      </w:pPr>
      <w:r w:rsidRPr="00C85109">
        <w:rPr>
          <w:rFonts w:asciiTheme="minorHAnsi" w:hAnsiTheme="minorHAnsi" w:cstheme="minorHAnsi"/>
          <w:sz w:val="21"/>
          <w:szCs w:val="21"/>
        </w:rPr>
        <w:t xml:space="preserve">Australian Trade and Investment Commission. (2016). </w:t>
      </w:r>
      <w:r w:rsidRPr="00C85109">
        <w:rPr>
          <w:rFonts w:asciiTheme="minorHAnsi" w:hAnsiTheme="minorHAnsi" w:cstheme="minorHAnsi"/>
          <w:i/>
          <w:iCs/>
          <w:sz w:val="21"/>
          <w:szCs w:val="21"/>
        </w:rPr>
        <w:t>Australian education technology: Education of the future now</w:t>
      </w:r>
      <w:r w:rsidRPr="00C85109">
        <w:rPr>
          <w:rFonts w:asciiTheme="minorHAnsi" w:hAnsiTheme="minorHAnsi" w:cstheme="minorHAnsi"/>
          <w:sz w:val="21"/>
          <w:szCs w:val="21"/>
        </w:rPr>
        <w:t>. https://www.austrade.gov.au/edtech/australian-education-technology-report-2017.pdf</w:t>
      </w:r>
    </w:p>
    <w:p w14:paraId="79978DC1" w14:textId="66CE1630" w:rsidR="00CC311F" w:rsidRPr="00C85109" w:rsidRDefault="00CC311F" w:rsidP="00CE427B">
      <w:pPr>
        <w:pStyle w:val="EndNoteBibliography"/>
        <w:spacing w:after="120" w:line="276" w:lineRule="auto"/>
        <w:ind w:left="851" w:hanging="491"/>
        <w:rPr>
          <w:rFonts w:asciiTheme="minorHAnsi" w:hAnsiTheme="minorHAnsi" w:cstheme="minorHAnsi"/>
          <w:sz w:val="21"/>
          <w:szCs w:val="21"/>
        </w:rPr>
      </w:pPr>
      <w:r w:rsidRPr="00C85109">
        <w:rPr>
          <w:rFonts w:asciiTheme="minorHAnsi" w:hAnsiTheme="minorHAnsi" w:cstheme="minorHAnsi"/>
          <w:sz w:val="21"/>
          <w:szCs w:val="21"/>
        </w:rPr>
        <w:t>Autism Spectrum Australia</w:t>
      </w:r>
      <w:r w:rsidR="009A77FA" w:rsidRPr="00C85109">
        <w:rPr>
          <w:rFonts w:asciiTheme="minorHAnsi" w:hAnsiTheme="minorHAnsi" w:cstheme="minorHAnsi"/>
          <w:sz w:val="21"/>
          <w:szCs w:val="21"/>
        </w:rPr>
        <w:t xml:space="preserve">. (n.d.). </w:t>
      </w:r>
      <w:r w:rsidR="009A77FA" w:rsidRPr="00C85109">
        <w:rPr>
          <w:rFonts w:asciiTheme="minorHAnsi" w:hAnsiTheme="minorHAnsi" w:cstheme="minorHAnsi"/>
          <w:i/>
          <w:iCs/>
          <w:sz w:val="21"/>
          <w:szCs w:val="21"/>
        </w:rPr>
        <w:t>Open employment.</w:t>
      </w:r>
      <w:r w:rsidR="009A77FA" w:rsidRPr="00C85109">
        <w:rPr>
          <w:rFonts w:asciiTheme="minorHAnsi" w:hAnsiTheme="minorHAnsi" w:cstheme="minorHAnsi"/>
          <w:sz w:val="21"/>
          <w:szCs w:val="21"/>
        </w:rPr>
        <w:t xml:space="preserve"> https://www.autismlaunchpad.org.au/work/open-employment/</w:t>
      </w:r>
    </w:p>
    <w:p w14:paraId="568011A4" w14:textId="37595826" w:rsidR="00E35816" w:rsidRPr="00C85109" w:rsidRDefault="00E35816" w:rsidP="00CE427B">
      <w:pPr>
        <w:pStyle w:val="EndNoteBibliography"/>
        <w:spacing w:after="120" w:line="276" w:lineRule="auto"/>
        <w:ind w:left="851" w:hanging="491"/>
        <w:rPr>
          <w:rFonts w:asciiTheme="minorHAnsi" w:hAnsiTheme="minorHAnsi" w:cstheme="minorHAnsi"/>
          <w:sz w:val="21"/>
          <w:szCs w:val="21"/>
        </w:rPr>
      </w:pPr>
      <w:r w:rsidRPr="00C85109">
        <w:rPr>
          <w:rFonts w:asciiTheme="minorHAnsi" w:hAnsiTheme="minorHAnsi" w:cstheme="minorHAnsi"/>
          <w:sz w:val="21"/>
          <w:szCs w:val="21"/>
        </w:rPr>
        <w:t>Baer, R. M., Daviso, A. W., Flexer, R. W., Queen, R.</w:t>
      </w:r>
      <w:r w:rsidR="00474D3A" w:rsidRPr="00C85109">
        <w:rPr>
          <w:rFonts w:asciiTheme="minorHAnsi" w:hAnsiTheme="minorHAnsi" w:cstheme="minorHAnsi"/>
          <w:sz w:val="21"/>
          <w:szCs w:val="21"/>
        </w:rPr>
        <w:t xml:space="preserve"> M.</w:t>
      </w:r>
      <w:r w:rsidRPr="00C85109">
        <w:rPr>
          <w:rFonts w:asciiTheme="minorHAnsi" w:hAnsiTheme="minorHAnsi" w:cstheme="minorHAnsi"/>
          <w:sz w:val="21"/>
          <w:szCs w:val="21"/>
        </w:rPr>
        <w:t xml:space="preserve">, &amp; Meindl, R. S. (2011). Students </w:t>
      </w:r>
      <w:r w:rsidR="00E34628" w:rsidRPr="00C85109">
        <w:rPr>
          <w:rFonts w:asciiTheme="minorHAnsi" w:hAnsiTheme="minorHAnsi" w:cstheme="minorHAnsi"/>
          <w:sz w:val="21"/>
          <w:szCs w:val="21"/>
        </w:rPr>
        <w:t>w</w:t>
      </w:r>
      <w:r w:rsidRPr="00C85109">
        <w:rPr>
          <w:rFonts w:asciiTheme="minorHAnsi" w:hAnsiTheme="minorHAnsi" w:cstheme="minorHAnsi"/>
          <w:sz w:val="21"/>
          <w:szCs w:val="21"/>
        </w:rPr>
        <w:t xml:space="preserve">ith </w:t>
      </w:r>
      <w:r w:rsidR="00E34628" w:rsidRPr="00C85109">
        <w:rPr>
          <w:rFonts w:asciiTheme="minorHAnsi" w:hAnsiTheme="minorHAnsi" w:cstheme="minorHAnsi"/>
          <w:sz w:val="21"/>
          <w:szCs w:val="21"/>
        </w:rPr>
        <w:t>i</w:t>
      </w:r>
      <w:r w:rsidRPr="00C85109">
        <w:rPr>
          <w:rFonts w:asciiTheme="minorHAnsi" w:hAnsiTheme="minorHAnsi" w:cstheme="minorHAnsi"/>
          <w:sz w:val="21"/>
          <w:szCs w:val="21"/>
        </w:rPr>
        <w:t xml:space="preserve">ntellectual </w:t>
      </w:r>
      <w:r w:rsidR="00E34628" w:rsidRPr="00C85109">
        <w:rPr>
          <w:rFonts w:asciiTheme="minorHAnsi" w:hAnsiTheme="minorHAnsi" w:cstheme="minorHAnsi"/>
          <w:sz w:val="21"/>
          <w:szCs w:val="21"/>
        </w:rPr>
        <w:t>d</w:t>
      </w:r>
      <w:r w:rsidRPr="00C85109">
        <w:rPr>
          <w:rFonts w:asciiTheme="minorHAnsi" w:hAnsiTheme="minorHAnsi" w:cstheme="minorHAnsi"/>
          <w:sz w:val="21"/>
          <w:szCs w:val="21"/>
        </w:rPr>
        <w:t xml:space="preserve">isabilities: Predictors of </w:t>
      </w:r>
      <w:r w:rsidR="00E34628" w:rsidRPr="00C85109">
        <w:rPr>
          <w:rFonts w:asciiTheme="minorHAnsi" w:hAnsiTheme="minorHAnsi" w:cstheme="minorHAnsi"/>
          <w:sz w:val="21"/>
          <w:szCs w:val="21"/>
        </w:rPr>
        <w:t>t</w:t>
      </w:r>
      <w:r w:rsidRPr="00C85109">
        <w:rPr>
          <w:rFonts w:asciiTheme="minorHAnsi" w:hAnsiTheme="minorHAnsi" w:cstheme="minorHAnsi"/>
          <w:sz w:val="21"/>
          <w:szCs w:val="21"/>
        </w:rPr>
        <w:t xml:space="preserve">ransition </w:t>
      </w:r>
      <w:r w:rsidR="00E34628" w:rsidRPr="00C85109">
        <w:rPr>
          <w:rFonts w:asciiTheme="minorHAnsi" w:hAnsiTheme="minorHAnsi" w:cstheme="minorHAnsi"/>
          <w:sz w:val="21"/>
          <w:szCs w:val="21"/>
        </w:rPr>
        <w:t>o</w:t>
      </w:r>
      <w:r w:rsidRPr="00C85109">
        <w:rPr>
          <w:rFonts w:asciiTheme="minorHAnsi" w:hAnsiTheme="minorHAnsi" w:cstheme="minorHAnsi"/>
          <w:sz w:val="21"/>
          <w:szCs w:val="21"/>
        </w:rPr>
        <w:t xml:space="preserve">utcomes. </w:t>
      </w:r>
      <w:r w:rsidRPr="00C85109">
        <w:rPr>
          <w:rFonts w:asciiTheme="minorHAnsi" w:hAnsiTheme="minorHAnsi" w:cstheme="minorHAnsi"/>
          <w:i/>
          <w:sz w:val="21"/>
          <w:szCs w:val="21"/>
        </w:rPr>
        <w:t xml:space="preserve">Career Development </w:t>
      </w:r>
      <w:r w:rsidR="001B29D8" w:rsidRPr="00C85109">
        <w:rPr>
          <w:rFonts w:asciiTheme="minorHAnsi" w:hAnsiTheme="minorHAnsi" w:cstheme="minorHAnsi"/>
          <w:i/>
          <w:sz w:val="21"/>
          <w:szCs w:val="21"/>
        </w:rPr>
        <w:t xml:space="preserve">and Transition </w:t>
      </w:r>
      <w:r w:rsidRPr="00C85109">
        <w:rPr>
          <w:rFonts w:asciiTheme="minorHAnsi" w:hAnsiTheme="minorHAnsi" w:cstheme="minorHAnsi"/>
          <w:i/>
          <w:sz w:val="21"/>
          <w:szCs w:val="21"/>
        </w:rPr>
        <w:t>for Exceptional Individuals, 34</w:t>
      </w:r>
      <w:r w:rsidRPr="00C85109">
        <w:rPr>
          <w:rFonts w:asciiTheme="minorHAnsi" w:hAnsiTheme="minorHAnsi" w:cstheme="minorHAnsi"/>
          <w:sz w:val="21"/>
          <w:szCs w:val="21"/>
        </w:rPr>
        <w:t xml:space="preserve">(3), 132-141. </w:t>
      </w:r>
      <w:r w:rsidR="00417CE6" w:rsidRPr="00C85109">
        <w:rPr>
          <w:rFonts w:asciiTheme="minorHAnsi" w:hAnsiTheme="minorHAnsi" w:cstheme="minorHAnsi"/>
          <w:sz w:val="21"/>
          <w:szCs w:val="21"/>
        </w:rPr>
        <w:t>https://doi.org/10.1177/0885728811399090</w:t>
      </w:r>
    </w:p>
    <w:p w14:paraId="0A31B672" w14:textId="5F290282" w:rsidR="00E35816" w:rsidRPr="00C85109" w:rsidRDefault="00E35816" w:rsidP="00CE427B">
      <w:pPr>
        <w:pStyle w:val="References"/>
        <w:spacing w:before="0" w:after="120" w:line="276" w:lineRule="auto"/>
        <w:ind w:left="851" w:right="-374" w:hanging="491"/>
        <w:rPr>
          <w:rFonts w:asciiTheme="minorHAnsi" w:hAnsiTheme="minorHAnsi" w:cstheme="minorHAnsi"/>
          <w:sz w:val="21"/>
          <w:szCs w:val="21"/>
        </w:rPr>
      </w:pPr>
      <w:r w:rsidRPr="00C85109">
        <w:rPr>
          <w:rFonts w:asciiTheme="minorHAnsi" w:hAnsiTheme="minorHAnsi" w:cstheme="minorHAnsi"/>
          <w:sz w:val="21"/>
          <w:szCs w:val="21"/>
        </w:rPr>
        <w:t>Ball, K.</w:t>
      </w:r>
      <w:r w:rsidR="00854D18" w:rsidRPr="00C85109">
        <w:rPr>
          <w:rFonts w:asciiTheme="minorHAnsi" w:hAnsiTheme="minorHAnsi" w:cstheme="minorHAnsi"/>
          <w:sz w:val="21"/>
          <w:szCs w:val="21"/>
        </w:rPr>
        <w:t>,</w:t>
      </w:r>
      <w:r w:rsidRPr="00C85109">
        <w:rPr>
          <w:rFonts w:asciiTheme="minorHAnsi" w:hAnsiTheme="minorHAnsi" w:cstheme="minorHAnsi"/>
          <w:sz w:val="21"/>
          <w:szCs w:val="21"/>
        </w:rPr>
        <w:t xml:space="preserve"> &amp; John, D. (2005)</w:t>
      </w:r>
      <w:r w:rsidR="00854D18" w:rsidRPr="00C85109">
        <w:rPr>
          <w:rFonts w:asciiTheme="minorHAnsi" w:hAnsiTheme="minorHAnsi" w:cstheme="minorHAnsi"/>
          <w:sz w:val="21"/>
          <w:szCs w:val="21"/>
        </w:rPr>
        <w:t>.</w:t>
      </w:r>
      <w:r w:rsidRPr="00C85109">
        <w:rPr>
          <w:rFonts w:asciiTheme="minorHAnsi" w:hAnsiTheme="minorHAnsi" w:cstheme="minorHAnsi"/>
          <w:sz w:val="21"/>
          <w:szCs w:val="21"/>
        </w:rPr>
        <w:t xml:space="preserve"> </w:t>
      </w:r>
      <w:r w:rsidRPr="00C85109">
        <w:rPr>
          <w:rFonts w:asciiTheme="minorHAnsi" w:hAnsiTheme="minorHAnsi" w:cstheme="minorHAnsi"/>
          <w:i/>
          <w:sz w:val="21"/>
          <w:szCs w:val="21"/>
        </w:rPr>
        <w:t>Apprentice and trainee completion rates</w:t>
      </w:r>
      <w:r w:rsidR="00D22014" w:rsidRPr="00C85109">
        <w:rPr>
          <w:rFonts w:asciiTheme="minorHAnsi" w:hAnsiTheme="minorHAnsi" w:cstheme="minorHAnsi"/>
          <w:i/>
          <w:sz w:val="21"/>
          <w:szCs w:val="21"/>
        </w:rPr>
        <w:t>.</w:t>
      </w:r>
      <w:r w:rsidR="00D22014" w:rsidRPr="00C85109">
        <w:rPr>
          <w:rFonts w:asciiTheme="minorHAnsi" w:hAnsiTheme="minorHAnsi" w:cstheme="minorHAnsi"/>
          <w:sz w:val="21"/>
          <w:szCs w:val="21"/>
        </w:rPr>
        <w:t xml:space="preserve"> </w:t>
      </w:r>
      <w:r w:rsidR="00D22014" w:rsidRPr="00C85109">
        <w:rPr>
          <w:rFonts w:asciiTheme="minorHAnsi" w:hAnsiTheme="minorHAnsi" w:cstheme="minorHAnsi"/>
          <w:iCs/>
          <w:sz w:val="21"/>
          <w:szCs w:val="21"/>
        </w:rPr>
        <w:t xml:space="preserve">National Centre for Vocational Education Research. </w:t>
      </w:r>
      <w:r w:rsidR="009417F5" w:rsidRPr="00C85109">
        <w:rPr>
          <w:rFonts w:asciiTheme="minorHAnsi" w:hAnsiTheme="minorHAnsi" w:cstheme="minorHAnsi"/>
          <w:sz w:val="21"/>
          <w:szCs w:val="21"/>
        </w:rPr>
        <w:t>https://vital.voced.edu.au/vital/access/services/Download/ngv:2519/SOURCE2</w:t>
      </w:r>
    </w:p>
    <w:p w14:paraId="3030DC2D" w14:textId="0335A2D7" w:rsidR="00E35816" w:rsidRPr="00C85109" w:rsidRDefault="00E35816" w:rsidP="00CE427B">
      <w:pPr>
        <w:autoSpaceDE w:val="0"/>
        <w:autoSpaceDN w:val="0"/>
        <w:adjustRightInd w:val="0"/>
        <w:spacing w:before="0" w:after="120" w:line="276" w:lineRule="auto"/>
        <w:ind w:left="851" w:hanging="491"/>
        <w:rPr>
          <w:rFonts w:asciiTheme="minorHAnsi" w:hAnsiTheme="minorHAnsi" w:cstheme="minorHAnsi"/>
          <w:szCs w:val="21"/>
        </w:rPr>
      </w:pPr>
      <w:r w:rsidRPr="00C85109">
        <w:rPr>
          <w:rFonts w:asciiTheme="minorHAnsi" w:hAnsiTheme="minorHAnsi" w:cstheme="minorHAnsi"/>
          <w:szCs w:val="21"/>
        </w:rPr>
        <w:t xml:space="preserve">Bates, K. (2009). </w:t>
      </w:r>
      <w:r w:rsidR="00003DD8" w:rsidRPr="00C85109">
        <w:rPr>
          <w:rFonts w:asciiTheme="minorHAnsi" w:hAnsiTheme="minorHAnsi" w:cstheme="minorHAnsi"/>
          <w:i/>
          <w:iCs/>
          <w:szCs w:val="21"/>
        </w:rPr>
        <w:t xml:space="preserve">In business: Developing the </w:t>
      </w:r>
      <w:proofErr w:type="spellStart"/>
      <w:r w:rsidR="00003DD8" w:rsidRPr="00C85109">
        <w:rPr>
          <w:rFonts w:asciiTheme="minorHAnsi" w:hAnsiTheme="minorHAnsi" w:cstheme="minorHAnsi"/>
          <w:i/>
          <w:iCs/>
          <w:szCs w:val="21"/>
        </w:rPr>
        <w:t>self employment</w:t>
      </w:r>
      <w:proofErr w:type="spellEnd"/>
      <w:r w:rsidR="00003DD8" w:rsidRPr="00C85109">
        <w:rPr>
          <w:rFonts w:asciiTheme="minorHAnsi" w:hAnsiTheme="minorHAnsi" w:cstheme="minorHAnsi"/>
          <w:i/>
          <w:iCs/>
          <w:szCs w:val="21"/>
        </w:rPr>
        <w:t xml:space="preserve"> option for people with learning disabilities</w:t>
      </w:r>
      <w:r w:rsidRPr="00C85109">
        <w:rPr>
          <w:rFonts w:asciiTheme="minorHAnsi" w:hAnsiTheme="minorHAnsi" w:cstheme="minorHAnsi"/>
          <w:i/>
          <w:iCs/>
          <w:szCs w:val="21"/>
        </w:rPr>
        <w:t xml:space="preserve">. </w:t>
      </w:r>
      <w:proofErr w:type="spellStart"/>
      <w:r w:rsidRPr="00C85109">
        <w:rPr>
          <w:rFonts w:asciiTheme="minorHAnsi" w:hAnsiTheme="minorHAnsi" w:cstheme="minorHAnsi"/>
          <w:i/>
          <w:iCs/>
          <w:szCs w:val="21"/>
        </w:rPr>
        <w:t>Programme</w:t>
      </w:r>
      <w:proofErr w:type="spellEnd"/>
      <w:r w:rsidRPr="00C85109">
        <w:rPr>
          <w:rFonts w:asciiTheme="minorHAnsi" w:hAnsiTheme="minorHAnsi" w:cstheme="minorHAnsi"/>
          <w:i/>
          <w:iCs/>
          <w:szCs w:val="21"/>
        </w:rPr>
        <w:t xml:space="preserve"> Report</w:t>
      </w:r>
      <w:r w:rsidR="00505523" w:rsidRPr="00C85109">
        <w:rPr>
          <w:rFonts w:asciiTheme="minorHAnsi" w:hAnsiTheme="minorHAnsi" w:cstheme="minorHAnsi"/>
          <w:i/>
          <w:iCs/>
          <w:szCs w:val="21"/>
        </w:rPr>
        <w:t>.</w:t>
      </w:r>
      <w:r w:rsidRPr="00C85109">
        <w:rPr>
          <w:rFonts w:asciiTheme="minorHAnsi" w:hAnsiTheme="minorHAnsi" w:cstheme="minorHAnsi"/>
          <w:szCs w:val="21"/>
        </w:rPr>
        <w:t xml:space="preserve"> Foundation for People with Learning Disabilities</w:t>
      </w:r>
      <w:r w:rsidR="00391F21" w:rsidRPr="00C85109">
        <w:rPr>
          <w:rFonts w:asciiTheme="minorHAnsi" w:hAnsiTheme="minorHAnsi" w:cstheme="minorHAnsi"/>
          <w:szCs w:val="21"/>
        </w:rPr>
        <w:t>.</w:t>
      </w:r>
      <w:r w:rsidRPr="00C85109">
        <w:rPr>
          <w:rFonts w:asciiTheme="minorHAnsi" w:hAnsiTheme="minorHAnsi" w:cstheme="minorHAnsi"/>
          <w:szCs w:val="21"/>
        </w:rPr>
        <w:t xml:space="preserve"> </w:t>
      </w:r>
      <w:r w:rsidR="00505523" w:rsidRPr="00C85109">
        <w:rPr>
          <w:rFonts w:asciiTheme="minorHAnsi" w:hAnsiTheme="minorHAnsi" w:cstheme="minorHAnsi"/>
          <w:szCs w:val="21"/>
        </w:rPr>
        <w:t>https://files.eric.ed.gov/fulltext/ED542388.pdf</w:t>
      </w:r>
    </w:p>
    <w:p w14:paraId="5D7B7CFE" w14:textId="40E9FABA" w:rsidR="00E35816" w:rsidRPr="00C85109" w:rsidRDefault="00E35816" w:rsidP="00CE427B">
      <w:pPr>
        <w:pStyle w:val="EndNoteBibliography"/>
        <w:spacing w:after="120" w:line="276" w:lineRule="auto"/>
        <w:ind w:left="851" w:hanging="491"/>
        <w:rPr>
          <w:rFonts w:asciiTheme="minorHAnsi" w:hAnsiTheme="minorHAnsi" w:cstheme="minorHAnsi"/>
          <w:sz w:val="21"/>
          <w:szCs w:val="21"/>
        </w:rPr>
      </w:pPr>
      <w:r w:rsidRPr="00C85109">
        <w:rPr>
          <w:rFonts w:asciiTheme="minorHAnsi" w:hAnsiTheme="minorHAnsi" w:cstheme="minorHAnsi"/>
          <w:sz w:val="21"/>
          <w:szCs w:val="21"/>
        </w:rPr>
        <w:t xml:space="preserve">Beamish, W., Meadows, D., &amp; Davies, M. D. (2012). Benchmarking </w:t>
      </w:r>
      <w:r w:rsidR="00C34916" w:rsidRPr="00C85109">
        <w:rPr>
          <w:rFonts w:asciiTheme="minorHAnsi" w:hAnsiTheme="minorHAnsi" w:cstheme="minorHAnsi"/>
          <w:sz w:val="21"/>
          <w:szCs w:val="21"/>
        </w:rPr>
        <w:t>t</w:t>
      </w:r>
      <w:r w:rsidRPr="00C85109">
        <w:rPr>
          <w:rFonts w:asciiTheme="minorHAnsi" w:hAnsiTheme="minorHAnsi" w:cstheme="minorHAnsi"/>
          <w:sz w:val="21"/>
          <w:szCs w:val="21"/>
        </w:rPr>
        <w:t xml:space="preserve">eacher </w:t>
      </w:r>
      <w:r w:rsidR="00C34916" w:rsidRPr="00C85109">
        <w:rPr>
          <w:rFonts w:asciiTheme="minorHAnsi" w:hAnsiTheme="minorHAnsi" w:cstheme="minorHAnsi"/>
          <w:sz w:val="21"/>
          <w:szCs w:val="21"/>
        </w:rPr>
        <w:t>p</w:t>
      </w:r>
      <w:r w:rsidRPr="00C85109">
        <w:rPr>
          <w:rFonts w:asciiTheme="minorHAnsi" w:hAnsiTheme="minorHAnsi" w:cstheme="minorHAnsi"/>
          <w:sz w:val="21"/>
          <w:szCs w:val="21"/>
        </w:rPr>
        <w:t xml:space="preserve">ractice in Queensland </w:t>
      </w:r>
      <w:r w:rsidR="00C34916" w:rsidRPr="00C85109">
        <w:rPr>
          <w:rFonts w:asciiTheme="minorHAnsi" w:hAnsiTheme="minorHAnsi" w:cstheme="minorHAnsi"/>
          <w:sz w:val="21"/>
          <w:szCs w:val="21"/>
        </w:rPr>
        <w:t>t</w:t>
      </w:r>
      <w:r w:rsidRPr="00C85109">
        <w:rPr>
          <w:rFonts w:asciiTheme="minorHAnsi" w:hAnsiTheme="minorHAnsi" w:cstheme="minorHAnsi"/>
          <w:sz w:val="21"/>
          <w:szCs w:val="21"/>
        </w:rPr>
        <w:t xml:space="preserve">ransiton </w:t>
      </w:r>
      <w:r w:rsidR="00C34916" w:rsidRPr="00C85109">
        <w:rPr>
          <w:rFonts w:asciiTheme="minorHAnsi" w:hAnsiTheme="minorHAnsi" w:cstheme="minorHAnsi"/>
          <w:sz w:val="21"/>
          <w:szCs w:val="21"/>
        </w:rPr>
        <w:t>p</w:t>
      </w:r>
      <w:r w:rsidRPr="00C85109">
        <w:rPr>
          <w:rFonts w:asciiTheme="minorHAnsi" w:hAnsiTheme="minorHAnsi" w:cstheme="minorHAnsi"/>
          <w:sz w:val="21"/>
          <w:szCs w:val="21"/>
        </w:rPr>
        <w:t xml:space="preserve">rograms for </w:t>
      </w:r>
      <w:r w:rsidR="00C34916" w:rsidRPr="00C85109">
        <w:rPr>
          <w:rFonts w:asciiTheme="minorHAnsi" w:hAnsiTheme="minorHAnsi" w:cstheme="minorHAnsi"/>
          <w:sz w:val="21"/>
          <w:szCs w:val="21"/>
        </w:rPr>
        <w:t>y</w:t>
      </w:r>
      <w:r w:rsidRPr="00C85109">
        <w:rPr>
          <w:rFonts w:asciiTheme="minorHAnsi" w:hAnsiTheme="minorHAnsi" w:cstheme="minorHAnsi"/>
          <w:sz w:val="21"/>
          <w:szCs w:val="21"/>
        </w:rPr>
        <w:t xml:space="preserve">outh with </w:t>
      </w:r>
      <w:r w:rsidR="00C34916" w:rsidRPr="00C85109">
        <w:rPr>
          <w:rFonts w:asciiTheme="minorHAnsi" w:hAnsiTheme="minorHAnsi" w:cstheme="minorHAnsi"/>
          <w:sz w:val="21"/>
          <w:szCs w:val="21"/>
        </w:rPr>
        <w:t>i</w:t>
      </w:r>
      <w:r w:rsidRPr="00C85109">
        <w:rPr>
          <w:rFonts w:asciiTheme="minorHAnsi" w:hAnsiTheme="minorHAnsi" w:cstheme="minorHAnsi"/>
          <w:sz w:val="21"/>
          <w:szCs w:val="21"/>
        </w:rPr>
        <w:t xml:space="preserve">ntellectual </w:t>
      </w:r>
      <w:r w:rsidR="00C34916" w:rsidRPr="00C85109">
        <w:rPr>
          <w:rFonts w:asciiTheme="minorHAnsi" w:hAnsiTheme="minorHAnsi" w:cstheme="minorHAnsi"/>
          <w:sz w:val="21"/>
          <w:szCs w:val="21"/>
        </w:rPr>
        <w:t>d</w:t>
      </w:r>
      <w:r w:rsidRPr="00C85109">
        <w:rPr>
          <w:rFonts w:asciiTheme="minorHAnsi" w:hAnsiTheme="minorHAnsi" w:cstheme="minorHAnsi"/>
          <w:sz w:val="21"/>
          <w:szCs w:val="21"/>
        </w:rPr>
        <w:t xml:space="preserve">isability and </w:t>
      </w:r>
      <w:r w:rsidR="00C34916" w:rsidRPr="00C85109">
        <w:rPr>
          <w:rFonts w:asciiTheme="minorHAnsi" w:hAnsiTheme="minorHAnsi" w:cstheme="minorHAnsi"/>
          <w:sz w:val="21"/>
          <w:szCs w:val="21"/>
        </w:rPr>
        <w:t>a</w:t>
      </w:r>
      <w:r w:rsidRPr="00C85109">
        <w:rPr>
          <w:rFonts w:asciiTheme="minorHAnsi" w:hAnsiTheme="minorHAnsi" w:cstheme="minorHAnsi"/>
          <w:sz w:val="21"/>
          <w:szCs w:val="21"/>
        </w:rPr>
        <w:t xml:space="preserve">utism. </w:t>
      </w:r>
      <w:r w:rsidRPr="00C85109">
        <w:rPr>
          <w:rFonts w:asciiTheme="minorHAnsi" w:hAnsiTheme="minorHAnsi" w:cstheme="minorHAnsi"/>
          <w:i/>
          <w:sz w:val="21"/>
          <w:szCs w:val="21"/>
        </w:rPr>
        <w:t>Journal of Special Education, 45</w:t>
      </w:r>
      <w:r w:rsidRPr="00C85109">
        <w:rPr>
          <w:rFonts w:asciiTheme="minorHAnsi" w:hAnsiTheme="minorHAnsi" w:cstheme="minorHAnsi"/>
          <w:sz w:val="21"/>
          <w:szCs w:val="21"/>
        </w:rPr>
        <w:t xml:space="preserve">(4), 227-241. </w:t>
      </w:r>
      <w:r w:rsidR="00381336" w:rsidRPr="00C85109">
        <w:rPr>
          <w:rFonts w:asciiTheme="minorHAnsi" w:hAnsiTheme="minorHAnsi" w:cstheme="minorHAnsi"/>
          <w:sz w:val="21"/>
          <w:szCs w:val="21"/>
        </w:rPr>
        <w:t>https://doi.org/10.1177/0022466910366602</w:t>
      </w:r>
    </w:p>
    <w:p w14:paraId="65770386" w14:textId="49DA3086" w:rsidR="00E35816" w:rsidRPr="00C85109" w:rsidRDefault="00E35816" w:rsidP="00CE427B">
      <w:pPr>
        <w:pStyle w:val="EndNoteBibliography"/>
        <w:spacing w:after="120" w:line="276" w:lineRule="auto"/>
        <w:ind w:left="851" w:hanging="491"/>
        <w:rPr>
          <w:rFonts w:asciiTheme="minorHAnsi" w:hAnsiTheme="minorHAnsi" w:cstheme="minorHAnsi"/>
          <w:sz w:val="21"/>
          <w:szCs w:val="21"/>
        </w:rPr>
      </w:pPr>
      <w:r w:rsidRPr="00C85109">
        <w:rPr>
          <w:rFonts w:asciiTheme="minorHAnsi" w:hAnsiTheme="minorHAnsi" w:cstheme="minorHAnsi"/>
          <w:sz w:val="21"/>
          <w:szCs w:val="21"/>
        </w:rPr>
        <w:t>Becker, A., Flack, L., &amp; Wickham, C. (201</w:t>
      </w:r>
      <w:r w:rsidR="00147902" w:rsidRPr="00C85109">
        <w:rPr>
          <w:rFonts w:asciiTheme="minorHAnsi" w:hAnsiTheme="minorHAnsi" w:cstheme="minorHAnsi"/>
          <w:sz w:val="21"/>
          <w:szCs w:val="21"/>
        </w:rPr>
        <w:t>1</w:t>
      </w:r>
      <w:r w:rsidRPr="00C85109">
        <w:rPr>
          <w:rFonts w:asciiTheme="minorHAnsi" w:hAnsiTheme="minorHAnsi" w:cstheme="minorHAnsi"/>
          <w:sz w:val="21"/>
          <w:szCs w:val="21"/>
        </w:rPr>
        <w:t xml:space="preserve">). Programs </w:t>
      </w:r>
      <w:r w:rsidR="00E352EB" w:rsidRPr="00C85109">
        <w:rPr>
          <w:rFonts w:asciiTheme="minorHAnsi" w:hAnsiTheme="minorHAnsi" w:cstheme="minorHAnsi"/>
          <w:sz w:val="21"/>
          <w:szCs w:val="21"/>
        </w:rPr>
        <w:t>t</w:t>
      </w:r>
      <w:r w:rsidRPr="00C85109">
        <w:rPr>
          <w:rFonts w:asciiTheme="minorHAnsi" w:hAnsiTheme="minorHAnsi" w:cstheme="minorHAnsi"/>
          <w:sz w:val="21"/>
          <w:szCs w:val="21"/>
        </w:rPr>
        <w:t xml:space="preserve">hat </w:t>
      </w:r>
      <w:r w:rsidR="00E352EB" w:rsidRPr="00C85109">
        <w:rPr>
          <w:rFonts w:asciiTheme="minorHAnsi" w:hAnsiTheme="minorHAnsi" w:cstheme="minorHAnsi"/>
          <w:sz w:val="21"/>
          <w:szCs w:val="21"/>
        </w:rPr>
        <w:t>s</w:t>
      </w:r>
      <w:r w:rsidRPr="00C85109">
        <w:rPr>
          <w:rFonts w:asciiTheme="minorHAnsi" w:hAnsiTheme="minorHAnsi" w:cstheme="minorHAnsi"/>
          <w:sz w:val="21"/>
          <w:szCs w:val="21"/>
        </w:rPr>
        <w:t xml:space="preserve">upport </w:t>
      </w:r>
      <w:r w:rsidR="00E352EB" w:rsidRPr="00C85109">
        <w:rPr>
          <w:rFonts w:asciiTheme="minorHAnsi" w:hAnsiTheme="minorHAnsi" w:cstheme="minorHAnsi"/>
          <w:sz w:val="21"/>
          <w:szCs w:val="21"/>
        </w:rPr>
        <w:t>e</w:t>
      </w:r>
      <w:r w:rsidRPr="00C85109">
        <w:rPr>
          <w:rFonts w:asciiTheme="minorHAnsi" w:hAnsiTheme="minorHAnsi" w:cstheme="minorHAnsi"/>
          <w:sz w:val="21"/>
          <w:szCs w:val="21"/>
        </w:rPr>
        <w:t xml:space="preserve">mployment for </w:t>
      </w:r>
      <w:r w:rsidR="00E352EB" w:rsidRPr="00C85109">
        <w:rPr>
          <w:rFonts w:asciiTheme="minorHAnsi" w:hAnsiTheme="minorHAnsi" w:cstheme="minorHAnsi"/>
          <w:sz w:val="21"/>
          <w:szCs w:val="21"/>
        </w:rPr>
        <w:t>p</w:t>
      </w:r>
      <w:r w:rsidRPr="00C85109">
        <w:rPr>
          <w:rFonts w:asciiTheme="minorHAnsi" w:hAnsiTheme="minorHAnsi" w:cstheme="minorHAnsi"/>
          <w:sz w:val="21"/>
          <w:szCs w:val="21"/>
        </w:rPr>
        <w:t xml:space="preserve">eople </w:t>
      </w:r>
      <w:r w:rsidR="00E352EB" w:rsidRPr="00C85109">
        <w:rPr>
          <w:rFonts w:asciiTheme="minorHAnsi" w:hAnsiTheme="minorHAnsi" w:cstheme="minorHAnsi"/>
          <w:sz w:val="21"/>
          <w:szCs w:val="21"/>
        </w:rPr>
        <w:t>w</w:t>
      </w:r>
      <w:r w:rsidRPr="00C85109">
        <w:rPr>
          <w:rFonts w:asciiTheme="minorHAnsi" w:hAnsiTheme="minorHAnsi" w:cstheme="minorHAnsi"/>
          <w:sz w:val="21"/>
          <w:szCs w:val="21"/>
        </w:rPr>
        <w:t xml:space="preserve">ith </w:t>
      </w:r>
      <w:r w:rsidR="00E352EB" w:rsidRPr="00C85109">
        <w:rPr>
          <w:rFonts w:asciiTheme="minorHAnsi" w:hAnsiTheme="minorHAnsi" w:cstheme="minorHAnsi"/>
          <w:sz w:val="21"/>
          <w:szCs w:val="21"/>
        </w:rPr>
        <w:t>s</w:t>
      </w:r>
      <w:r w:rsidRPr="00C85109">
        <w:rPr>
          <w:rFonts w:asciiTheme="minorHAnsi" w:hAnsiTheme="minorHAnsi" w:cstheme="minorHAnsi"/>
          <w:sz w:val="21"/>
          <w:szCs w:val="21"/>
        </w:rPr>
        <w:t xml:space="preserve">evere </w:t>
      </w:r>
      <w:r w:rsidR="00E352EB" w:rsidRPr="00C85109">
        <w:rPr>
          <w:rFonts w:asciiTheme="minorHAnsi" w:hAnsiTheme="minorHAnsi" w:cstheme="minorHAnsi"/>
          <w:sz w:val="21"/>
          <w:szCs w:val="21"/>
        </w:rPr>
        <w:t>m</w:t>
      </w:r>
      <w:r w:rsidRPr="00C85109">
        <w:rPr>
          <w:rFonts w:asciiTheme="minorHAnsi" w:hAnsiTheme="minorHAnsi" w:cstheme="minorHAnsi"/>
          <w:sz w:val="21"/>
          <w:szCs w:val="21"/>
        </w:rPr>
        <w:t xml:space="preserve">ental </w:t>
      </w:r>
      <w:r w:rsidR="00E352EB" w:rsidRPr="00C85109">
        <w:rPr>
          <w:rFonts w:asciiTheme="minorHAnsi" w:hAnsiTheme="minorHAnsi" w:cstheme="minorHAnsi"/>
          <w:sz w:val="21"/>
          <w:szCs w:val="21"/>
        </w:rPr>
        <w:t>i</w:t>
      </w:r>
      <w:r w:rsidRPr="00C85109">
        <w:rPr>
          <w:rFonts w:asciiTheme="minorHAnsi" w:hAnsiTheme="minorHAnsi" w:cstheme="minorHAnsi"/>
          <w:sz w:val="21"/>
          <w:szCs w:val="21"/>
        </w:rPr>
        <w:t xml:space="preserve">llness: A </w:t>
      </w:r>
      <w:r w:rsidR="00E352EB" w:rsidRPr="00C85109">
        <w:rPr>
          <w:rFonts w:asciiTheme="minorHAnsi" w:hAnsiTheme="minorHAnsi" w:cstheme="minorHAnsi"/>
          <w:sz w:val="21"/>
          <w:szCs w:val="21"/>
        </w:rPr>
        <w:t>l</w:t>
      </w:r>
      <w:r w:rsidRPr="00C85109">
        <w:rPr>
          <w:rFonts w:asciiTheme="minorHAnsi" w:hAnsiTheme="minorHAnsi" w:cstheme="minorHAnsi"/>
          <w:sz w:val="21"/>
          <w:szCs w:val="21"/>
        </w:rPr>
        <w:t xml:space="preserve">iterature </w:t>
      </w:r>
      <w:r w:rsidR="00E352EB" w:rsidRPr="00C85109">
        <w:rPr>
          <w:rFonts w:asciiTheme="minorHAnsi" w:hAnsiTheme="minorHAnsi" w:cstheme="minorHAnsi"/>
          <w:sz w:val="21"/>
          <w:szCs w:val="21"/>
        </w:rPr>
        <w:t>r</w:t>
      </w:r>
      <w:r w:rsidRPr="00C85109">
        <w:rPr>
          <w:rFonts w:asciiTheme="minorHAnsi" w:hAnsiTheme="minorHAnsi" w:cstheme="minorHAnsi"/>
          <w:sz w:val="21"/>
          <w:szCs w:val="21"/>
        </w:rPr>
        <w:t>eview</w:t>
      </w:r>
      <w:r w:rsidR="00E352EB" w:rsidRPr="00C85109">
        <w:rPr>
          <w:rFonts w:asciiTheme="minorHAnsi" w:hAnsiTheme="minorHAnsi" w:cstheme="minorHAnsi"/>
          <w:sz w:val="21"/>
          <w:szCs w:val="21"/>
        </w:rPr>
        <w:t>.</w:t>
      </w:r>
      <w:r w:rsidRPr="00C85109">
        <w:rPr>
          <w:rFonts w:asciiTheme="minorHAnsi" w:hAnsiTheme="minorHAnsi" w:cstheme="minorHAnsi"/>
          <w:i/>
          <w:sz w:val="21"/>
          <w:szCs w:val="21"/>
        </w:rPr>
        <w:t xml:space="preserve"> International Journal of Psychosocial Rehabilitation, 16</w:t>
      </w:r>
      <w:r w:rsidRPr="00C85109">
        <w:rPr>
          <w:rFonts w:asciiTheme="minorHAnsi" w:hAnsiTheme="minorHAnsi" w:cstheme="minorHAnsi"/>
          <w:sz w:val="21"/>
          <w:szCs w:val="21"/>
        </w:rPr>
        <w:t xml:space="preserve">(1), 52-58. </w:t>
      </w:r>
    </w:p>
    <w:p w14:paraId="21CF110F" w14:textId="58D9C779" w:rsidR="00E35816" w:rsidRPr="00C85109" w:rsidRDefault="00E35816" w:rsidP="00CE427B">
      <w:pPr>
        <w:pStyle w:val="EndNoteBibliography"/>
        <w:spacing w:after="120" w:line="276" w:lineRule="auto"/>
        <w:ind w:left="851" w:hanging="491"/>
        <w:rPr>
          <w:rFonts w:asciiTheme="minorHAnsi" w:hAnsiTheme="minorHAnsi" w:cstheme="minorHAnsi"/>
          <w:sz w:val="21"/>
          <w:szCs w:val="21"/>
        </w:rPr>
      </w:pPr>
      <w:r w:rsidRPr="00C85109">
        <w:rPr>
          <w:rFonts w:asciiTheme="minorHAnsi" w:hAnsiTheme="minorHAnsi" w:cstheme="minorHAnsi"/>
          <w:sz w:val="21"/>
          <w:szCs w:val="21"/>
        </w:rPr>
        <w:t xml:space="preserve">Bellman, S., Burgstahler, S., &amp; Ladner, R. (2014). Work-based learning experiences help students with disabilities transition to careers: A case study of University of Washington projects. </w:t>
      </w:r>
      <w:r w:rsidRPr="00C85109">
        <w:rPr>
          <w:rFonts w:asciiTheme="minorHAnsi" w:hAnsiTheme="minorHAnsi" w:cstheme="minorHAnsi"/>
          <w:i/>
          <w:sz w:val="21"/>
          <w:szCs w:val="21"/>
        </w:rPr>
        <w:t>Work, 48</w:t>
      </w:r>
      <w:r w:rsidRPr="00C85109">
        <w:rPr>
          <w:rFonts w:asciiTheme="minorHAnsi" w:hAnsiTheme="minorHAnsi" w:cstheme="minorHAnsi"/>
          <w:sz w:val="21"/>
          <w:szCs w:val="21"/>
        </w:rPr>
        <w:t>(3), 399-405.</w:t>
      </w:r>
      <w:r w:rsidR="005546D3" w:rsidRPr="00C85109">
        <w:rPr>
          <w:rFonts w:asciiTheme="minorHAnsi" w:hAnsiTheme="minorHAnsi" w:cstheme="minorHAnsi"/>
          <w:sz w:val="21"/>
          <w:szCs w:val="21"/>
        </w:rPr>
        <w:t xml:space="preserve"> </w:t>
      </w:r>
      <w:r w:rsidR="00D75C8F" w:rsidRPr="00C85109">
        <w:rPr>
          <w:rFonts w:asciiTheme="minorHAnsi" w:hAnsiTheme="minorHAnsi" w:cstheme="minorHAnsi"/>
          <w:sz w:val="21"/>
          <w:szCs w:val="21"/>
        </w:rPr>
        <w:t>https://doi.org/10.3233/wor-131780</w:t>
      </w:r>
    </w:p>
    <w:p w14:paraId="1FCE3D13" w14:textId="6B74A5AC" w:rsidR="00E35816" w:rsidRPr="00C85109" w:rsidRDefault="00E35816" w:rsidP="00CE427B">
      <w:pPr>
        <w:pStyle w:val="EndNoteBibliography"/>
        <w:spacing w:after="120" w:line="276" w:lineRule="auto"/>
        <w:ind w:left="851" w:hanging="491"/>
        <w:rPr>
          <w:rFonts w:asciiTheme="minorHAnsi" w:hAnsiTheme="minorHAnsi" w:cstheme="minorHAnsi"/>
          <w:sz w:val="21"/>
          <w:szCs w:val="21"/>
        </w:rPr>
      </w:pPr>
      <w:r w:rsidRPr="00C85109">
        <w:rPr>
          <w:rFonts w:asciiTheme="minorHAnsi" w:hAnsiTheme="minorHAnsi" w:cstheme="minorHAnsi"/>
          <w:sz w:val="21"/>
          <w:szCs w:val="21"/>
        </w:rPr>
        <w:t xml:space="preserve">Beyer, S., Brown, T., Akandi, R., &amp; Rapley, M. (2010). A </w:t>
      </w:r>
      <w:r w:rsidR="000919A4" w:rsidRPr="00C85109">
        <w:rPr>
          <w:rFonts w:asciiTheme="minorHAnsi" w:hAnsiTheme="minorHAnsi" w:cstheme="minorHAnsi"/>
          <w:sz w:val="21"/>
          <w:szCs w:val="21"/>
        </w:rPr>
        <w:t>c</w:t>
      </w:r>
      <w:r w:rsidRPr="00C85109">
        <w:rPr>
          <w:rFonts w:asciiTheme="minorHAnsi" w:hAnsiTheme="minorHAnsi" w:cstheme="minorHAnsi"/>
          <w:sz w:val="21"/>
          <w:szCs w:val="21"/>
        </w:rPr>
        <w:t xml:space="preserve">omparison of </w:t>
      </w:r>
      <w:r w:rsidR="000919A4" w:rsidRPr="00C85109">
        <w:rPr>
          <w:rFonts w:asciiTheme="minorHAnsi" w:hAnsiTheme="minorHAnsi" w:cstheme="minorHAnsi"/>
          <w:sz w:val="21"/>
          <w:szCs w:val="21"/>
        </w:rPr>
        <w:t>q</w:t>
      </w:r>
      <w:r w:rsidRPr="00C85109">
        <w:rPr>
          <w:rFonts w:asciiTheme="minorHAnsi" w:hAnsiTheme="minorHAnsi" w:cstheme="minorHAnsi"/>
          <w:sz w:val="21"/>
          <w:szCs w:val="21"/>
        </w:rPr>
        <w:t xml:space="preserve">uality of </w:t>
      </w:r>
      <w:r w:rsidR="000919A4" w:rsidRPr="00C85109">
        <w:rPr>
          <w:rFonts w:asciiTheme="minorHAnsi" w:hAnsiTheme="minorHAnsi" w:cstheme="minorHAnsi"/>
          <w:sz w:val="21"/>
          <w:szCs w:val="21"/>
        </w:rPr>
        <w:t>l</w:t>
      </w:r>
      <w:r w:rsidRPr="00C85109">
        <w:rPr>
          <w:rFonts w:asciiTheme="minorHAnsi" w:hAnsiTheme="minorHAnsi" w:cstheme="minorHAnsi"/>
          <w:sz w:val="21"/>
          <w:szCs w:val="21"/>
        </w:rPr>
        <w:t xml:space="preserve">ife </w:t>
      </w:r>
      <w:r w:rsidR="000919A4" w:rsidRPr="00C85109">
        <w:rPr>
          <w:rFonts w:asciiTheme="minorHAnsi" w:hAnsiTheme="minorHAnsi" w:cstheme="minorHAnsi"/>
          <w:sz w:val="21"/>
          <w:szCs w:val="21"/>
        </w:rPr>
        <w:t>o</w:t>
      </w:r>
      <w:r w:rsidRPr="00C85109">
        <w:rPr>
          <w:rFonts w:asciiTheme="minorHAnsi" w:hAnsiTheme="minorHAnsi" w:cstheme="minorHAnsi"/>
          <w:sz w:val="21"/>
          <w:szCs w:val="21"/>
        </w:rPr>
        <w:t xml:space="preserve">utcomes for </w:t>
      </w:r>
      <w:r w:rsidR="000919A4" w:rsidRPr="00C85109">
        <w:rPr>
          <w:rFonts w:asciiTheme="minorHAnsi" w:hAnsiTheme="minorHAnsi" w:cstheme="minorHAnsi"/>
          <w:sz w:val="21"/>
          <w:szCs w:val="21"/>
        </w:rPr>
        <w:t>p</w:t>
      </w:r>
      <w:r w:rsidRPr="00C85109">
        <w:rPr>
          <w:rFonts w:asciiTheme="minorHAnsi" w:hAnsiTheme="minorHAnsi" w:cstheme="minorHAnsi"/>
          <w:sz w:val="21"/>
          <w:szCs w:val="21"/>
        </w:rPr>
        <w:t xml:space="preserve">eople with </w:t>
      </w:r>
      <w:r w:rsidR="000919A4" w:rsidRPr="00C85109">
        <w:rPr>
          <w:rFonts w:asciiTheme="minorHAnsi" w:hAnsiTheme="minorHAnsi" w:cstheme="minorHAnsi"/>
          <w:sz w:val="21"/>
          <w:szCs w:val="21"/>
        </w:rPr>
        <w:t>i</w:t>
      </w:r>
      <w:r w:rsidRPr="00C85109">
        <w:rPr>
          <w:rFonts w:asciiTheme="minorHAnsi" w:hAnsiTheme="minorHAnsi" w:cstheme="minorHAnsi"/>
          <w:sz w:val="21"/>
          <w:szCs w:val="21"/>
        </w:rPr>
        <w:t xml:space="preserve">ntellectual </w:t>
      </w:r>
      <w:r w:rsidR="000919A4" w:rsidRPr="00C85109">
        <w:rPr>
          <w:rFonts w:asciiTheme="minorHAnsi" w:hAnsiTheme="minorHAnsi" w:cstheme="minorHAnsi"/>
          <w:sz w:val="21"/>
          <w:szCs w:val="21"/>
        </w:rPr>
        <w:t>d</w:t>
      </w:r>
      <w:r w:rsidRPr="00C85109">
        <w:rPr>
          <w:rFonts w:asciiTheme="minorHAnsi" w:hAnsiTheme="minorHAnsi" w:cstheme="minorHAnsi"/>
          <w:sz w:val="21"/>
          <w:szCs w:val="21"/>
        </w:rPr>
        <w:t xml:space="preserve">isabilities in </w:t>
      </w:r>
      <w:r w:rsidR="000919A4" w:rsidRPr="00C85109">
        <w:rPr>
          <w:rFonts w:asciiTheme="minorHAnsi" w:hAnsiTheme="minorHAnsi" w:cstheme="minorHAnsi"/>
          <w:sz w:val="21"/>
          <w:szCs w:val="21"/>
        </w:rPr>
        <w:t>s</w:t>
      </w:r>
      <w:r w:rsidRPr="00C85109">
        <w:rPr>
          <w:rFonts w:asciiTheme="minorHAnsi" w:hAnsiTheme="minorHAnsi" w:cstheme="minorHAnsi"/>
          <w:sz w:val="21"/>
          <w:szCs w:val="21"/>
        </w:rPr>
        <w:t xml:space="preserve">upported </w:t>
      </w:r>
      <w:r w:rsidR="000919A4" w:rsidRPr="00C85109">
        <w:rPr>
          <w:rFonts w:asciiTheme="minorHAnsi" w:hAnsiTheme="minorHAnsi" w:cstheme="minorHAnsi"/>
          <w:sz w:val="21"/>
          <w:szCs w:val="21"/>
        </w:rPr>
        <w:t>e</w:t>
      </w:r>
      <w:r w:rsidRPr="00C85109">
        <w:rPr>
          <w:rFonts w:asciiTheme="minorHAnsi" w:hAnsiTheme="minorHAnsi" w:cstheme="minorHAnsi"/>
          <w:sz w:val="21"/>
          <w:szCs w:val="21"/>
        </w:rPr>
        <w:t xml:space="preserve">mployment, </w:t>
      </w:r>
      <w:r w:rsidR="000919A4" w:rsidRPr="00C85109">
        <w:rPr>
          <w:rFonts w:asciiTheme="minorHAnsi" w:hAnsiTheme="minorHAnsi" w:cstheme="minorHAnsi"/>
          <w:sz w:val="21"/>
          <w:szCs w:val="21"/>
        </w:rPr>
        <w:t>d</w:t>
      </w:r>
      <w:r w:rsidRPr="00C85109">
        <w:rPr>
          <w:rFonts w:asciiTheme="minorHAnsi" w:hAnsiTheme="minorHAnsi" w:cstheme="minorHAnsi"/>
          <w:sz w:val="21"/>
          <w:szCs w:val="21"/>
        </w:rPr>
        <w:t xml:space="preserve">ay </w:t>
      </w:r>
      <w:r w:rsidR="000919A4" w:rsidRPr="00C85109">
        <w:rPr>
          <w:rFonts w:asciiTheme="minorHAnsi" w:hAnsiTheme="minorHAnsi" w:cstheme="minorHAnsi"/>
          <w:sz w:val="21"/>
          <w:szCs w:val="21"/>
        </w:rPr>
        <w:t>s</w:t>
      </w:r>
      <w:r w:rsidRPr="00C85109">
        <w:rPr>
          <w:rFonts w:asciiTheme="minorHAnsi" w:hAnsiTheme="minorHAnsi" w:cstheme="minorHAnsi"/>
          <w:sz w:val="21"/>
          <w:szCs w:val="21"/>
        </w:rPr>
        <w:t xml:space="preserve">ervices and </w:t>
      </w:r>
      <w:r w:rsidR="000919A4" w:rsidRPr="00C85109">
        <w:rPr>
          <w:rFonts w:asciiTheme="minorHAnsi" w:hAnsiTheme="minorHAnsi" w:cstheme="minorHAnsi"/>
          <w:sz w:val="21"/>
          <w:szCs w:val="21"/>
        </w:rPr>
        <w:t>e</w:t>
      </w:r>
      <w:r w:rsidRPr="00C85109">
        <w:rPr>
          <w:rFonts w:asciiTheme="minorHAnsi" w:hAnsiTheme="minorHAnsi" w:cstheme="minorHAnsi"/>
          <w:sz w:val="21"/>
          <w:szCs w:val="21"/>
        </w:rPr>
        <w:t xml:space="preserve">mployment </w:t>
      </w:r>
      <w:r w:rsidR="000919A4" w:rsidRPr="00C85109">
        <w:rPr>
          <w:rFonts w:asciiTheme="minorHAnsi" w:hAnsiTheme="minorHAnsi" w:cstheme="minorHAnsi"/>
          <w:sz w:val="21"/>
          <w:szCs w:val="21"/>
        </w:rPr>
        <w:t>e</w:t>
      </w:r>
      <w:r w:rsidRPr="00C85109">
        <w:rPr>
          <w:rFonts w:asciiTheme="minorHAnsi" w:hAnsiTheme="minorHAnsi" w:cstheme="minorHAnsi"/>
          <w:sz w:val="21"/>
          <w:szCs w:val="21"/>
        </w:rPr>
        <w:t xml:space="preserve">nterprises. </w:t>
      </w:r>
      <w:r w:rsidRPr="00C85109">
        <w:rPr>
          <w:rFonts w:asciiTheme="minorHAnsi" w:hAnsiTheme="minorHAnsi" w:cstheme="minorHAnsi"/>
          <w:i/>
          <w:sz w:val="21"/>
          <w:szCs w:val="21"/>
        </w:rPr>
        <w:t>Journal of Applied Research in Intellectual Disabilities, 23</w:t>
      </w:r>
      <w:r w:rsidRPr="00C85109">
        <w:rPr>
          <w:rFonts w:asciiTheme="minorHAnsi" w:hAnsiTheme="minorHAnsi" w:cstheme="minorHAnsi"/>
          <w:sz w:val="21"/>
          <w:szCs w:val="21"/>
        </w:rPr>
        <w:t xml:space="preserve">(3), 290-295. </w:t>
      </w:r>
      <w:r w:rsidR="0072378A" w:rsidRPr="00C85109">
        <w:rPr>
          <w:rFonts w:asciiTheme="minorHAnsi" w:hAnsiTheme="minorHAnsi" w:cstheme="minorHAnsi"/>
          <w:sz w:val="21"/>
          <w:szCs w:val="21"/>
        </w:rPr>
        <w:t>https://doi.org/10.1111/j.1468-3148.2009.00534.x</w:t>
      </w:r>
    </w:p>
    <w:p w14:paraId="4609C676" w14:textId="2AEA7635" w:rsidR="00E35816" w:rsidRPr="00C85109" w:rsidRDefault="00E35816" w:rsidP="00CE427B">
      <w:pPr>
        <w:pStyle w:val="EndNoteBibliography"/>
        <w:spacing w:after="120" w:line="276" w:lineRule="auto"/>
        <w:ind w:left="851" w:hanging="491"/>
        <w:rPr>
          <w:rFonts w:asciiTheme="minorHAnsi" w:hAnsiTheme="minorHAnsi" w:cstheme="minorHAnsi"/>
          <w:sz w:val="21"/>
          <w:szCs w:val="21"/>
        </w:rPr>
      </w:pPr>
      <w:bookmarkStart w:id="169" w:name="_Hlk40695315"/>
      <w:r w:rsidRPr="00C85109">
        <w:rPr>
          <w:rFonts w:asciiTheme="minorHAnsi" w:hAnsiTheme="minorHAnsi" w:cstheme="minorHAnsi"/>
          <w:sz w:val="21"/>
          <w:szCs w:val="21"/>
        </w:rPr>
        <w:lastRenderedPageBreak/>
        <w:t>Blacher, J. (2001). T</w:t>
      </w:r>
      <w:r w:rsidR="007A7074" w:rsidRPr="00C85109">
        <w:rPr>
          <w:rFonts w:asciiTheme="minorHAnsi" w:hAnsiTheme="minorHAnsi" w:cstheme="minorHAnsi"/>
          <w:sz w:val="21"/>
          <w:szCs w:val="21"/>
        </w:rPr>
        <w:t>ransition to adulthood: Mental retardation</w:t>
      </w:r>
      <w:r w:rsidRPr="00C85109">
        <w:rPr>
          <w:rFonts w:asciiTheme="minorHAnsi" w:hAnsiTheme="minorHAnsi" w:cstheme="minorHAnsi"/>
          <w:sz w:val="21"/>
          <w:szCs w:val="21"/>
        </w:rPr>
        <w:t xml:space="preserve">, </w:t>
      </w:r>
      <w:r w:rsidR="007A7074" w:rsidRPr="00C85109">
        <w:rPr>
          <w:rFonts w:asciiTheme="minorHAnsi" w:hAnsiTheme="minorHAnsi" w:cstheme="minorHAnsi"/>
          <w:sz w:val="21"/>
          <w:szCs w:val="21"/>
        </w:rPr>
        <w:t>f</w:t>
      </w:r>
      <w:r w:rsidRPr="00C85109">
        <w:rPr>
          <w:rFonts w:asciiTheme="minorHAnsi" w:hAnsiTheme="minorHAnsi" w:cstheme="minorHAnsi"/>
          <w:sz w:val="21"/>
          <w:szCs w:val="21"/>
        </w:rPr>
        <w:t xml:space="preserve">amilies, and </w:t>
      </w:r>
      <w:r w:rsidR="007A7074" w:rsidRPr="00C85109">
        <w:rPr>
          <w:rFonts w:asciiTheme="minorHAnsi" w:hAnsiTheme="minorHAnsi" w:cstheme="minorHAnsi"/>
          <w:sz w:val="21"/>
          <w:szCs w:val="21"/>
        </w:rPr>
        <w:t>c</w:t>
      </w:r>
      <w:r w:rsidRPr="00C85109">
        <w:rPr>
          <w:rFonts w:asciiTheme="minorHAnsi" w:hAnsiTheme="minorHAnsi" w:cstheme="minorHAnsi"/>
          <w:sz w:val="21"/>
          <w:szCs w:val="21"/>
        </w:rPr>
        <w:t xml:space="preserve">ulture. </w:t>
      </w:r>
      <w:r w:rsidRPr="00C85109">
        <w:rPr>
          <w:rFonts w:asciiTheme="minorHAnsi" w:hAnsiTheme="minorHAnsi" w:cstheme="minorHAnsi"/>
          <w:i/>
          <w:sz w:val="21"/>
          <w:szCs w:val="21"/>
        </w:rPr>
        <w:t>American Journal on Mental Retardation, 106</w:t>
      </w:r>
      <w:r w:rsidRPr="00C85109">
        <w:rPr>
          <w:rFonts w:asciiTheme="minorHAnsi" w:hAnsiTheme="minorHAnsi" w:cstheme="minorHAnsi"/>
          <w:sz w:val="21"/>
          <w:szCs w:val="21"/>
        </w:rPr>
        <w:t xml:space="preserve">(2), 173-188. </w:t>
      </w:r>
      <w:r w:rsidR="006B0FB4" w:rsidRPr="00C85109">
        <w:rPr>
          <w:rFonts w:asciiTheme="minorHAnsi" w:hAnsiTheme="minorHAnsi" w:cstheme="minorHAnsi"/>
          <w:sz w:val="21"/>
          <w:szCs w:val="21"/>
        </w:rPr>
        <w:t>https://doi.org/10.1352/0895-8017(2001)106%3C0173:TTAMRF%3E2.0.CO;2</w:t>
      </w:r>
    </w:p>
    <w:p w14:paraId="000F7E6E" w14:textId="493FEAD5" w:rsidR="00E35816" w:rsidRPr="00C85109" w:rsidRDefault="00125D38" w:rsidP="00CE427B">
      <w:pPr>
        <w:spacing w:before="0" w:after="120" w:line="276" w:lineRule="auto"/>
        <w:ind w:left="851" w:hanging="491"/>
        <w:rPr>
          <w:rFonts w:asciiTheme="minorHAnsi" w:hAnsiTheme="minorHAnsi" w:cstheme="minorHAnsi"/>
          <w:szCs w:val="21"/>
        </w:rPr>
      </w:pPr>
      <w:hyperlink r:id="rId30" w:history="1">
        <w:r w:rsidR="00E35816" w:rsidRPr="00C85109">
          <w:rPr>
            <w:rStyle w:val="Hyperlink"/>
            <w:rFonts w:asciiTheme="minorHAnsi" w:hAnsiTheme="minorHAnsi" w:cstheme="minorHAnsi"/>
            <w:color w:val="auto"/>
            <w:szCs w:val="21"/>
            <w:u w:val="none"/>
          </w:rPr>
          <w:t>Blick</w:t>
        </w:r>
      </w:hyperlink>
      <w:r w:rsidR="00E87C79" w:rsidRPr="00C85109">
        <w:rPr>
          <w:rStyle w:val="Hyperlink"/>
          <w:rFonts w:asciiTheme="minorHAnsi" w:hAnsiTheme="minorHAnsi" w:cstheme="minorHAnsi"/>
          <w:color w:val="auto"/>
          <w:szCs w:val="21"/>
          <w:u w:val="none"/>
        </w:rPr>
        <w:t xml:space="preserve">, </w:t>
      </w:r>
      <w:r w:rsidR="00E35816" w:rsidRPr="00C85109">
        <w:rPr>
          <w:rStyle w:val="comma"/>
          <w:rFonts w:asciiTheme="minorHAnsi" w:hAnsiTheme="minorHAnsi" w:cstheme="minorHAnsi"/>
          <w:szCs w:val="21"/>
        </w:rPr>
        <w:t>R.</w:t>
      </w:r>
      <w:r w:rsidR="002B2EF5" w:rsidRPr="00C85109">
        <w:rPr>
          <w:rStyle w:val="comma"/>
          <w:rFonts w:asciiTheme="minorHAnsi" w:hAnsiTheme="minorHAnsi" w:cstheme="minorHAnsi"/>
          <w:szCs w:val="21"/>
        </w:rPr>
        <w:t xml:space="preserve"> N.</w:t>
      </w:r>
      <w:r w:rsidR="00E35816" w:rsidRPr="00C85109">
        <w:rPr>
          <w:rStyle w:val="comma"/>
          <w:rFonts w:asciiTheme="minorHAnsi" w:hAnsiTheme="minorHAnsi" w:cstheme="minorHAnsi"/>
          <w:szCs w:val="21"/>
        </w:rPr>
        <w:t>,</w:t>
      </w:r>
      <w:hyperlink r:id="rId31" w:history="1">
        <w:r w:rsidR="00E35816" w:rsidRPr="00C85109">
          <w:rPr>
            <w:rStyle w:val="Hyperlink"/>
            <w:rFonts w:asciiTheme="minorHAnsi" w:hAnsiTheme="minorHAnsi" w:cstheme="minorHAnsi"/>
            <w:color w:val="auto"/>
            <w:szCs w:val="21"/>
            <w:u w:val="none"/>
          </w:rPr>
          <w:t xml:space="preserve"> Litz</w:t>
        </w:r>
      </w:hyperlink>
      <w:r w:rsidR="002B2EF5" w:rsidRPr="00C85109">
        <w:rPr>
          <w:rStyle w:val="Hyperlink"/>
          <w:rFonts w:asciiTheme="minorHAnsi" w:hAnsiTheme="minorHAnsi" w:cstheme="minorHAnsi"/>
          <w:color w:val="auto"/>
          <w:szCs w:val="21"/>
          <w:u w:val="none"/>
        </w:rPr>
        <w:t xml:space="preserve">, </w:t>
      </w:r>
      <w:r w:rsidR="00E35816" w:rsidRPr="00C85109">
        <w:rPr>
          <w:rStyle w:val="comma"/>
          <w:rFonts w:asciiTheme="minorHAnsi" w:hAnsiTheme="minorHAnsi" w:cstheme="minorHAnsi"/>
          <w:szCs w:val="21"/>
        </w:rPr>
        <w:t>K.</w:t>
      </w:r>
      <w:r w:rsidR="002B2EF5" w:rsidRPr="00C85109">
        <w:rPr>
          <w:rStyle w:val="comma"/>
          <w:rFonts w:asciiTheme="minorHAnsi" w:hAnsiTheme="minorHAnsi" w:cstheme="minorHAnsi"/>
          <w:szCs w:val="21"/>
        </w:rPr>
        <w:t xml:space="preserve"> S.</w:t>
      </w:r>
      <w:r w:rsidR="00E35816" w:rsidRPr="00C85109">
        <w:rPr>
          <w:rStyle w:val="comma"/>
          <w:rFonts w:asciiTheme="minorHAnsi" w:hAnsiTheme="minorHAnsi" w:cstheme="minorHAnsi"/>
          <w:szCs w:val="21"/>
        </w:rPr>
        <w:t>,</w:t>
      </w:r>
      <w:hyperlink r:id="rId32" w:history="1">
        <w:r w:rsidR="00E35816" w:rsidRPr="00C85109">
          <w:rPr>
            <w:rStyle w:val="Hyperlink"/>
            <w:rFonts w:asciiTheme="minorHAnsi" w:hAnsiTheme="minorHAnsi" w:cstheme="minorHAnsi"/>
            <w:color w:val="auto"/>
            <w:szCs w:val="21"/>
            <w:u w:val="none"/>
          </w:rPr>
          <w:t xml:space="preserve"> Thornhil</w:t>
        </w:r>
      </w:hyperlink>
      <w:r w:rsidR="00723F0D" w:rsidRPr="00C85109">
        <w:rPr>
          <w:rStyle w:val="Hyperlink"/>
          <w:rFonts w:asciiTheme="minorHAnsi" w:hAnsiTheme="minorHAnsi" w:cstheme="minorHAnsi"/>
          <w:color w:val="auto"/>
          <w:szCs w:val="21"/>
          <w:u w:val="none"/>
        </w:rPr>
        <w:t xml:space="preserve">l, </w:t>
      </w:r>
      <w:r w:rsidR="00E35816" w:rsidRPr="00C85109">
        <w:rPr>
          <w:rStyle w:val="comma"/>
          <w:rFonts w:asciiTheme="minorHAnsi" w:hAnsiTheme="minorHAnsi" w:cstheme="minorHAnsi"/>
          <w:szCs w:val="21"/>
        </w:rPr>
        <w:t>M.</w:t>
      </w:r>
      <w:r w:rsidR="00723F0D" w:rsidRPr="00C85109">
        <w:rPr>
          <w:rStyle w:val="comma"/>
          <w:rFonts w:asciiTheme="minorHAnsi" w:hAnsiTheme="minorHAnsi" w:cstheme="minorHAnsi"/>
          <w:szCs w:val="21"/>
        </w:rPr>
        <w:t xml:space="preserve"> G., </w:t>
      </w:r>
      <w:r w:rsidR="00E35816" w:rsidRPr="00C85109">
        <w:rPr>
          <w:rStyle w:val="comma"/>
          <w:rFonts w:asciiTheme="minorHAnsi" w:hAnsiTheme="minorHAnsi" w:cstheme="minorHAnsi"/>
          <w:szCs w:val="21"/>
        </w:rPr>
        <w:t>&amp;</w:t>
      </w:r>
      <w:hyperlink r:id="rId33" w:history="1">
        <w:r w:rsidR="00E35816" w:rsidRPr="00C85109">
          <w:rPr>
            <w:rStyle w:val="Hyperlink"/>
            <w:rFonts w:asciiTheme="minorHAnsi" w:hAnsiTheme="minorHAnsi" w:cstheme="minorHAnsi"/>
            <w:color w:val="auto"/>
            <w:szCs w:val="21"/>
            <w:u w:val="none"/>
          </w:rPr>
          <w:t xml:space="preserve"> Goreczny</w:t>
        </w:r>
      </w:hyperlink>
      <w:r w:rsidR="00E35816" w:rsidRPr="00C85109">
        <w:rPr>
          <w:rStyle w:val="authors-list-item"/>
          <w:rFonts w:asciiTheme="minorHAnsi" w:hAnsiTheme="minorHAnsi" w:cstheme="minorHAnsi"/>
          <w:szCs w:val="21"/>
        </w:rPr>
        <w:t xml:space="preserve">, A. </w:t>
      </w:r>
      <w:r w:rsidR="00723F0D" w:rsidRPr="00C85109">
        <w:rPr>
          <w:rStyle w:val="authors-list-item"/>
          <w:rFonts w:asciiTheme="minorHAnsi" w:hAnsiTheme="minorHAnsi" w:cstheme="minorHAnsi"/>
          <w:szCs w:val="21"/>
        </w:rPr>
        <w:t xml:space="preserve">J. </w:t>
      </w:r>
      <w:r w:rsidR="00E35816" w:rsidRPr="00C85109">
        <w:rPr>
          <w:rStyle w:val="authors-list-item"/>
          <w:rFonts w:asciiTheme="minorHAnsi" w:hAnsiTheme="minorHAnsi" w:cstheme="minorHAnsi"/>
          <w:szCs w:val="21"/>
        </w:rPr>
        <w:t xml:space="preserve">(2016). </w:t>
      </w:r>
      <w:r w:rsidR="00E35816" w:rsidRPr="00C85109">
        <w:rPr>
          <w:rFonts w:asciiTheme="minorHAnsi" w:hAnsiTheme="minorHAnsi" w:cstheme="minorHAnsi"/>
          <w:szCs w:val="21"/>
        </w:rPr>
        <w:t xml:space="preserve">Do </w:t>
      </w:r>
      <w:r w:rsidR="00CF065F" w:rsidRPr="00C85109">
        <w:rPr>
          <w:rFonts w:asciiTheme="minorHAnsi" w:hAnsiTheme="minorHAnsi" w:cstheme="minorHAnsi"/>
          <w:szCs w:val="21"/>
        </w:rPr>
        <w:t>inclusive work environments matter</w:t>
      </w:r>
      <w:r w:rsidR="00E35816" w:rsidRPr="00C85109">
        <w:rPr>
          <w:rFonts w:asciiTheme="minorHAnsi" w:hAnsiTheme="minorHAnsi" w:cstheme="minorHAnsi"/>
          <w:szCs w:val="21"/>
        </w:rPr>
        <w:t xml:space="preserve">? Effects </w:t>
      </w:r>
      <w:r w:rsidR="00CF065F" w:rsidRPr="00C85109">
        <w:rPr>
          <w:rFonts w:asciiTheme="minorHAnsi" w:hAnsiTheme="minorHAnsi" w:cstheme="minorHAnsi"/>
          <w:szCs w:val="21"/>
        </w:rPr>
        <w:t>of community-integrated employment on quality of life for individuals with intellectual disabilities.</w:t>
      </w:r>
      <w:r w:rsidR="00E35816" w:rsidRPr="00C85109">
        <w:rPr>
          <w:rFonts w:asciiTheme="minorHAnsi" w:hAnsiTheme="minorHAnsi" w:cstheme="minorHAnsi"/>
          <w:szCs w:val="21"/>
        </w:rPr>
        <w:t xml:space="preserve"> </w:t>
      </w:r>
      <w:r w:rsidR="00E35816" w:rsidRPr="00C85109">
        <w:rPr>
          <w:rFonts w:asciiTheme="minorHAnsi" w:hAnsiTheme="minorHAnsi" w:cstheme="minorHAnsi"/>
          <w:i/>
          <w:iCs/>
          <w:szCs w:val="21"/>
        </w:rPr>
        <w:t xml:space="preserve">Research in Developmental </w:t>
      </w:r>
      <w:r w:rsidR="00E35816" w:rsidRPr="00C85109">
        <w:rPr>
          <w:rFonts w:asciiTheme="minorHAnsi" w:hAnsiTheme="minorHAnsi" w:cstheme="minorHAnsi"/>
          <w:szCs w:val="21"/>
        </w:rPr>
        <w:t xml:space="preserve">Disabilities, </w:t>
      </w:r>
      <w:r w:rsidR="00E35816" w:rsidRPr="00C85109">
        <w:rPr>
          <w:rFonts w:asciiTheme="minorHAnsi" w:hAnsiTheme="minorHAnsi" w:cstheme="minorHAnsi"/>
          <w:i/>
          <w:iCs/>
          <w:szCs w:val="21"/>
        </w:rPr>
        <w:t>53-54</w:t>
      </w:r>
      <w:r w:rsidR="00FB58B4" w:rsidRPr="00C85109">
        <w:rPr>
          <w:rFonts w:asciiTheme="minorHAnsi" w:hAnsiTheme="minorHAnsi" w:cstheme="minorHAnsi"/>
          <w:szCs w:val="21"/>
        </w:rPr>
        <w:t xml:space="preserve">, </w:t>
      </w:r>
      <w:r w:rsidR="00E35816" w:rsidRPr="00C85109">
        <w:rPr>
          <w:rFonts w:asciiTheme="minorHAnsi" w:hAnsiTheme="minorHAnsi" w:cstheme="minorHAnsi"/>
          <w:szCs w:val="21"/>
        </w:rPr>
        <w:t>358-</w:t>
      </w:r>
      <w:r w:rsidR="00937B05" w:rsidRPr="00C85109">
        <w:rPr>
          <w:rFonts w:asciiTheme="minorHAnsi" w:hAnsiTheme="minorHAnsi" w:cstheme="minorHAnsi"/>
          <w:szCs w:val="21"/>
        </w:rPr>
        <w:t>3</w:t>
      </w:r>
      <w:r w:rsidR="00E35816" w:rsidRPr="00C85109">
        <w:rPr>
          <w:rFonts w:asciiTheme="minorHAnsi" w:hAnsiTheme="minorHAnsi" w:cstheme="minorHAnsi"/>
          <w:szCs w:val="21"/>
        </w:rPr>
        <w:t xml:space="preserve">66. </w:t>
      </w:r>
      <w:r w:rsidR="00226470" w:rsidRPr="00C85109">
        <w:rPr>
          <w:rFonts w:asciiTheme="minorHAnsi" w:hAnsiTheme="minorHAnsi" w:cstheme="minorHAnsi"/>
          <w:szCs w:val="21"/>
        </w:rPr>
        <w:t>https://doi.org/10.1016/j.ridd.2016.02.015</w:t>
      </w:r>
    </w:p>
    <w:p w14:paraId="6D71E21A" w14:textId="03E93890" w:rsidR="00E35816" w:rsidRPr="00C85109" w:rsidRDefault="00E35816" w:rsidP="00CE427B">
      <w:pPr>
        <w:pStyle w:val="EndNoteBibliography"/>
        <w:spacing w:after="120" w:line="276" w:lineRule="auto"/>
        <w:ind w:left="851" w:hanging="491"/>
        <w:rPr>
          <w:rFonts w:asciiTheme="minorHAnsi" w:hAnsiTheme="minorHAnsi" w:cstheme="minorHAnsi"/>
          <w:sz w:val="21"/>
          <w:szCs w:val="21"/>
        </w:rPr>
      </w:pPr>
      <w:bookmarkStart w:id="170" w:name="_Hlk41249492"/>
      <w:r w:rsidRPr="00C85109">
        <w:rPr>
          <w:rFonts w:asciiTheme="minorHAnsi" w:hAnsiTheme="minorHAnsi" w:cstheme="minorHAnsi"/>
          <w:sz w:val="21"/>
          <w:szCs w:val="21"/>
        </w:rPr>
        <w:t xml:space="preserve">Blustein, C. L., Carter, E. W., &amp; McMillan, E. D. (2016). The </w:t>
      </w:r>
      <w:r w:rsidR="00742D74" w:rsidRPr="00C85109">
        <w:rPr>
          <w:rFonts w:asciiTheme="minorHAnsi" w:hAnsiTheme="minorHAnsi" w:cstheme="minorHAnsi"/>
          <w:sz w:val="21"/>
          <w:szCs w:val="21"/>
        </w:rPr>
        <w:t>voices of parents</w:t>
      </w:r>
      <w:r w:rsidRPr="00C85109">
        <w:rPr>
          <w:rFonts w:asciiTheme="minorHAnsi" w:hAnsiTheme="minorHAnsi" w:cstheme="minorHAnsi"/>
          <w:sz w:val="21"/>
          <w:szCs w:val="21"/>
        </w:rPr>
        <w:t>: Post–</w:t>
      </w:r>
      <w:r w:rsidR="00742D74" w:rsidRPr="00C85109">
        <w:rPr>
          <w:rFonts w:asciiTheme="minorHAnsi" w:hAnsiTheme="minorHAnsi" w:cstheme="minorHAnsi"/>
          <w:sz w:val="21"/>
          <w:szCs w:val="21"/>
        </w:rPr>
        <w:t>high school expectations, priorities, and concerns for children with intellectual and developmental disabilities.</w:t>
      </w:r>
      <w:r w:rsidRPr="00C85109">
        <w:rPr>
          <w:rFonts w:asciiTheme="minorHAnsi" w:hAnsiTheme="minorHAnsi" w:cstheme="minorHAnsi"/>
          <w:sz w:val="21"/>
          <w:szCs w:val="21"/>
        </w:rPr>
        <w:t xml:space="preserve"> </w:t>
      </w:r>
      <w:r w:rsidRPr="00C85109">
        <w:rPr>
          <w:rFonts w:asciiTheme="minorHAnsi" w:hAnsiTheme="minorHAnsi" w:cstheme="minorHAnsi"/>
          <w:i/>
          <w:sz w:val="21"/>
          <w:szCs w:val="21"/>
        </w:rPr>
        <w:t>Journal of Special Education, 50</w:t>
      </w:r>
      <w:r w:rsidRPr="00C85109">
        <w:rPr>
          <w:rFonts w:asciiTheme="minorHAnsi" w:hAnsiTheme="minorHAnsi" w:cstheme="minorHAnsi"/>
          <w:sz w:val="21"/>
          <w:szCs w:val="21"/>
        </w:rPr>
        <w:t>(3), 164-177.</w:t>
      </w:r>
      <w:r w:rsidR="00E7295E" w:rsidRPr="00C85109">
        <w:rPr>
          <w:rFonts w:asciiTheme="minorHAnsi" w:hAnsiTheme="minorHAnsi" w:cstheme="minorHAnsi"/>
          <w:sz w:val="21"/>
          <w:szCs w:val="21"/>
        </w:rPr>
        <w:t xml:space="preserve"> https://doi.org/10.1177/0022466916641381</w:t>
      </w:r>
    </w:p>
    <w:p w14:paraId="44FBFCBA" w14:textId="30EE36F1" w:rsidR="00E35816" w:rsidRPr="00C85109" w:rsidRDefault="00E35816" w:rsidP="00CE427B">
      <w:pPr>
        <w:pStyle w:val="EndNoteBibliography"/>
        <w:spacing w:after="120" w:line="276" w:lineRule="auto"/>
        <w:ind w:left="851" w:hanging="491"/>
        <w:rPr>
          <w:rFonts w:asciiTheme="minorHAnsi" w:hAnsiTheme="minorHAnsi" w:cstheme="minorHAnsi"/>
          <w:sz w:val="21"/>
          <w:szCs w:val="21"/>
        </w:rPr>
      </w:pPr>
      <w:bookmarkStart w:id="171" w:name="_Hlk41253775"/>
      <w:bookmarkEnd w:id="170"/>
      <w:r w:rsidRPr="00C85109">
        <w:rPr>
          <w:rFonts w:asciiTheme="minorHAnsi" w:hAnsiTheme="minorHAnsi" w:cstheme="minorHAnsi"/>
          <w:sz w:val="21"/>
          <w:szCs w:val="21"/>
        </w:rPr>
        <w:t>Bond, G. R., Drake, R. E., &amp; Becker, D. R. (2008). An update on randomized controlled trials of evidence-based supported employment.</w:t>
      </w:r>
      <w:r w:rsidRPr="00C85109">
        <w:rPr>
          <w:rFonts w:asciiTheme="minorHAnsi" w:hAnsiTheme="minorHAnsi" w:cstheme="minorHAnsi"/>
          <w:i/>
          <w:sz w:val="21"/>
          <w:szCs w:val="21"/>
        </w:rPr>
        <w:t xml:space="preserve"> Psychiatric Rehabilitation Journal, 31</w:t>
      </w:r>
      <w:r w:rsidR="00D76B4F" w:rsidRPr="00C85109">
        <w:rPr>
          <w:rFonts w:asciiTheme="minorHAnsi" w:hAnsiTheme="minorHAnsi" w:cstheme="minorHAnsi"/>
          <w:iCs/>
          <w:sz w:val="21"/>
          <w:szCs w:val="21"/>
        </w:rPr>
        <w:t>(4)</w:t>
      </w:r>
      <w:r w:rsidRPr="00C85109">
        <w:rPr>
          <w:rFonts w:asciiTheme="minorHAnsi" w:hAnsiTheme="minorHAnsi" w:cstheme="minorHAnsi"/>
          <w:sz w:val="21"/>
          <w:szCs w:val="21"/>
        </w:rPr>
        <w:t xml:space="preserve">, 280-290. </w:t>
      </w:r>
      <w:r w:rsidR="00516A43" w:rsidRPr="00C85109">
        <w:rPr>
          <w:rFonts w:asciiTheme="minorHAnsi" w:hAnsiTheme="minorHAnsi" w:cstheme="minorHAnsi"/>
          <w:sz w:val="21"/>
          <w:szCs w:val="21"/>
        </w:rPr>
        <w:t>https://doi.org/10.2975/31.4.2008.280.290</w:t>
      </w:r>
    </w:p>
    <w:p w14:paraId="121B47CF" w14:textId="7751B206" w:rsidR="00E35816" w:rsidRPr="00C85109" w:rsidRDefault="00E35816" w:rsidP="00CE427B">
      <w:pPr>
        <w:spacing w:before="0" w:after="120" w:line="276" w:lineRule="auto"/>
        <w:ind w:left="851" w:hanging="491"/>
        <w:rPr>
          <w:rFonts w:asciiTheme="minorHAnsi" w:hAnsiTheme="minorHAnsi" w:cstheme="minorHAnsi"/>
          <w:szCs w:val="21"/>
        </w:rPr>
      </w:pPr>
      <w:r w:rsidRPr="00C85109">
        <w:rPr>
          <w:rFonts w:asciiTheme="minorHAnsi" w:hAnsiTheme="minorHAnsi" w:cstheme="minorHAnsi"/>
          <w:szCs w:val="21"/>
        </w:rPr>
        <w:t>Bond, G.</w:t>
      </w:r>
      <w:r w:rsidR="00C17454" w:rsidRPr="00C85109">
        <w:rPr>
          <w:rFonts w:asciiTheme="minorHAnsi" w:hAnsiTheme="minorHAnsi" w:cstheme="minorHAnsi"/>
          <w:szCs w:val="21"/>
        </w:rPr>
        <w:t xml:space="preserve"> R.,</w:t>
      </w:r>
      <w:r w:rsidRPr="00C85109">
        <w:rPr>
          <w:rFonts w:asciiTheme="minorHAnsi" w:hAnsiTheme="minorHAnsi" w:cstheme="minorHAnsi"/>
          <w:szCs w:val="21"/>
        </w:rPr>
        <w:t xml:space="preserve"> Drake, R.</w:t>
      </w:r>
      <w:r w:rsidR="005433E1" w:rsidRPr="00C85109">
        <w:rPr>
          <w:rFonts w:asciiTheme="minorHAnsi" w:hAnsiTheme="minorHAnsi" w:cstheme="minorHAnsi"/>
          <w:szCs w:val="21"/>
        </w:rPr>
        <w:t xml:space="preserve"> E.,</w:t>
      </w:r>
      <w:r w:rsidRPr="00C85109">
        <w:rPr>
          <w:rFonts w:asciiTheme="minorHAnsi" w:hAnsiTheme="minorHAnsi" w:cstheme="minorHAnsi"/>
          <w:szCs w:val="21"/>
        </w:rPr>
        <w:t xml:space="preserve"> &amp; Becker, D.</w:t>
      </w:r>
      <w:r w:rsidR="005433E1" w:rsidRPr="00C85109">
        <w:rPr>
          <w:rFonts w:asciiTheme="minorHAnsi" w:hAnsiTheme="minorHAnsi" w:cstheme="minorHAnsi"/>
          <w:szCs w:val="21"/>
        </w:rPr>
        <w:t xml:space="preserve"> R.</w:t>
      </w:r>
      <w:r w:rsidRPr="00C85109">
        <w:rPr>
          <w:rFonts w:asciiTheme="minorHAnsi" w:hAnsiTheme="minorHAnsi" w:cstheme="minorHAnsi"/>
          <w:szCs w:val="21"/>
        </w:rPr>
        <w:t xml:space="preserve"> (2012). Generalizability </w:t>
      </w:r>
      <w:r w:rsidR="005433E1" w:rsidRPr="00C85109">
        <w:rPr>
          <w:rFonts w:asciiTheme="minorHAnsi" w:hAnsiTheme="minorHAnsi" w:cstheme="minorHAnsi"/>
          <w:szCs w:val="21"/>
        </w:rPr>
        <w:t>of the individual placement and support</w:t>
      </w:r>
      <w:r w:rsidRPr="00C85109">
        <w:rPr>
          <w:rFonts w:asciiTheme="minorHAnsi" w:hAnsiTheme="minorHAnsi" w:cstheme="minorHAnsi"/>
          <w:szCs w:val="21"/>
        </w:rPr>
        <w:t xml:space="preserve"> (IPS) model of supported employment outside the US</w:t>
      </w:r>
      <w:r w:rsidR="00DA0E94" w:rsidRPr="00C85109">
        <w:rPr>
          <w:rFonts w:asciiTheme="minorHAnsi" w:hAnsiTheme="minorHAnsi" w:cstheme="minorHAnsi"/>
          <w:szCs w:val="21"/>
        </w:rPr>
        <w:t>.</w:t>
      </w:r>
      <w:r w:rsidRPr="00C85109">
        <w:rPr>
          <w:rFonts w:asciiTheme="minorHAnsi" w:hAnsiTheme="minorHAnsi" w:cstheme="minorHAnsi"/>
          <w:szCs w:val="21"/>
        </w:rPr>
        <w:t xml:space="preserve"> </w:t>
      </w:r>
      <w:hyperlink r:id="rId34" w:history="1">
        <w:r w:rsidRPr="00C85109">
          <w:rPr>
            <w:rStyle w:val="Hyperlink"/>
            <w:rFonts w:asciiTheme="minorHAnsi" w:hAnsiTheme="minorHAnsi" w:cstheme="minorHAnsi"/>
            <w:i/>
            <w:iCs/>
            <w:color w:val="auto"/>
            <w:szCs w:val="21"/>
            <w:u w:val="none"/>
          </w:rPr>
          <w:t>World Psychiatry</w:t>
        </w:r>
      </w:hyperlink>
      <w:r w:rsidRPr="00C85109">
        <w:rPr>
          <w:rStyle w:val="cit"/>
          <w:rFonts w:asciiTheme="minorHAnsi" w:hAnsiTheme="minorHAnsi" w:cstheme="minorHAnsi"/>
          <w:i/>
          <w:iCs/>
          <w:szCs w:val="21"/>
        </w:rPr>
        <w:t>, 11</w:t>
      </w:r>
      <w:r w:rsidRPr="00C85109">
        <w:rPr>
          <w:rStyle w:val="cit"/>
          <w:rFonts w:asciiTheme="minorHAnsi" w:hAnsiTheme="minorHAnsi" w:cstheme="minorHAnsi"/>
          <w:szCs w:val="21"/>
        </w:rPr>
        <w:t>(1)</w:t>
      </w:r>
      <w:r w:rsidR="008077C0" w:rsidRPr="00C85109">
        <w:rPr>
          <w:rStyle w:val="cit"/>
          <w:rFonts w:asciiTheme="minorHAnsi" w:hAnsiTheme="minorHAnsi" w:cstheme="minorHAnsi"/>
          <w:szCs w:val="21"/>
        </w:rPr>
        <w:t>,</w:t>
      </w:r>
      <w:r w:rsidRPr="00C85109">
        <w:rPr>
          <w:rStyle w:val="cit"/>
          <w:rFonts w:asciiTheme="minorHAnsi" w:hAnsiTheme="minorHAnsi" w:cstheme="minorHAnsi"/>
          <w:szCs w:val="21"/>
        </w:rPr>
        <w:t xml:space="preserve"> 32</w:t>
      </w:r>
      <w:r w:rsidR="00DA0E94" w:rsidRPr="00C85109">
        <w:rPr>
          <w:rStyle w:val="cit"/>
          <w:rFonts w:asciiTheme="minorHAnsi" w:hAnsiTheme="minorHAnsi" w:cstheme="minorHAnsi"/>
          <w:szCs w:val="21"/>
        </w:rPr>
        <w:t>-</w:t>
      </w:r>
      <w:r w:rsidRPr="00C85109">
        <w:rPr>
          <w:rStyle w:val="cit"/>
          <w:rFonts w:asciiTheme="minorHAnsi" w:hAnsiTheme="minorHAnsi" w:cstheme="minorHAnsi"/>
          <w:szCs w:val="21"/>
        </w:rPr>
        <w:t>39.</w:t>
      </w:r>
      <w:r w:rsidR="008077C0" w:rsidRPr="00C85109">
        <w:rPr>
          <w:rStyle w:val="cit"/>
          <w:rFonts w:asciiTheme="minorHAnsi" w:hAnsiTheme="minorHAnsi" w:cstheme="minorHAnsi"/>
          <w:szCs w:val="21"/>
        </w:rPr>
        <w:t xml:space="preserve"> </w:t>
      </w:r>
      <w:r w:rsidR="00A44176" w:rsidRPr="00C85109">
        <w:rPr>
          <w:rStyle w:val="cit"/>
          <w:rFonts w:asciiTheme="minorHAnsi" w:hAnsiTheme="minorHAnsi" w:cstheme="minorHAnsi"/>
          <w:szCs w:val="21"/>
        </w:rPr>
        <w:t>https://doi.org/10.1016/j.wpsyc.2012.01.005</w:t>
      </w:r>
    </w:p>
    <w:p w14:paraId="3B9E9AAE" w14:textId="145ABD7A" w:rsidR="00E35816" w:rsidRPr="00C85109" w:rsidRDefault="00E35816" w:rsidP="00CE427B">
      <w:pPr>
        <w:spacing w:before="0" w:after="120" w:line="276" w:lineRule="auto"/>
        <w:ind w:left="851" w:hanging="491"/>
        <w:rPr>
          <w:rFonts w:asciiTheme="minorHAnsi" w:hAnsiTheme="minorHAnsi" w:cstheme="minorHAnsi"/>
          <w:szCs w:val="21"/>
        </w:rPr>
      </w:pPr>
      <w:r w:rsidRPr="00C85109">
        <w:rPr>
          <w:rFonts w:asciiTheme="minorHAnsi" w:hAnsiTheme="minorHAnsi" w:cstheme="minorHAnsi"/>
          <w:szCs w:val="21"/>
        </w:rPr>
        <w:t>Bond, G. (2020)</w:t>
      </w:r>
      <w:r w:rsidR="00AC62D7" w:rsidRPr="00C85109">
        <w:rPr>
          <w:rFonts w:asciiTheme="minorHAnsi" w:hAnsiTheme="minorHAnsi" w:cstheme="minorHAnsi"/>
          <w:szCs w:val="21"/>
        </w:rPr>
        <w:t>.</w:t>
      </w:r>
      <w:r w:rsidRPr="00C85109">
        <w:rPr>
          <w:rFonts w:asciiTheme="minorHAnsi" w:hAnsiTheme="minorHAnsi" w:cstheme="minorHAnsi"/>
          <w:szCs w:val="21"/>
        </w:rPr>
        <w:t xml:space="preserve"> </w:t>
      </w:r>
      <w:r w:rsidR="00750529" w:rsidRPr="00C85109">
        <w:rPr>
          <w:rFonts w:asciiTheme="minorHAnsi" w:hAnsiTheme="minorHAnsi" w:cstheme="minorHAnsi"/>
          <w:i/>
          <w:iCs/>
          <w:szCs w:val="21"/>
        </w:rPr>
        <w:t>Evidence for the effectiveness of individual placement and support model of supported employment</w:t>
      </w:r>
      <w:r w:rsidRPr="00C85109">
        <w:rPr>
          <w:rFonts w:asciiTheme="minorHAnsi" w:hAnsiTheme="minorHAnsi" w:cstheme="minorHAnsi"/>
          <w:szCs w:val="21"/>
        </w:rPr>
        <w:t xml:space="preserve"> </w:t>
      </w:r>
      <w:r w:rsidR="000C21F0" w:rsidRPr="00C85109">
        <w:rPr>
          <w:rFonts w:asciiTheme="minorHAnsi" w:hAnsiTheme="minorHAnsi" w:cstheme="minorHAnsi"/>
          <w:szCs w:val="21"/>
        </w:rPr>
        <w:t>[</w:t>
      </w:r>
      <w:r w:rsidR="006958DF" w:rsidRPr="00C85109">
        <w:rPr>
          <w:rFonts w:asciiTheme="minorHAnsi" w:hAnsiTheme="minorHAnsi" w:cstheme="minorHAnsi"/>
          <w:szCs w:val="21"/>
        </w:rPr>
        <w:t>PowerPoint</w:t>
      </w:r>
      <w:r w:rsidR="000C21F0" w:rsidRPr="00C85109">
        <w:rPr>
          <w:rFonts w:asciiTheme="minorHAnsi" w:hAnsiTheme="minorHAnsi" w:cstheme="minorHAnsi"/>
          <w:szCs w:val="21"/>
        </w:rPr>
        <w:t xml:space="preserve"> slides]</w:t>
      </w:r>
      <w:r w:rsidR="00C0272D" w:rsidRPr="00C85109">
        <w:rPr>
          <w:rFonts w:asciiTheme="minorHAnsi" w:hAnsiTheme="minorHAnsi" w:cstheme="minorHAnsi"/>
          <w:szCs w:val="21"/>
        </w:rPr>
        <w:t>.</w:t>
      </w:r>
      <w:r w:rsidRPr="00C85109">
        <w:rPr>
          <w:rFonts w:asciiTheme="minorHAnsi" w:hAnsiTheme="minorHAnsi" w:cstheme="minorHAnsi"/>
          <w:szCs w:val="21"/>
        </w:rPr>
        <w:t xml:space="preserve"> </w:t>
      </w:r>
      <w:r w:rsidR="00276602" w:rsidRPr="00C85109">
        <w:rPr>
          <w:rFonts w:asciiTheme="minorHAnsi" w:hAnsiTheme="minorHAnsi" w:cstheme="minorHAnsi"/>
          <w:szCs w:val="21"/>
        </w:rPr>
        <w:t xml:space="preserve">IPS Works. </w:t>
      </w:r>
      <w:r w:rsidR="00C40EBE" w:rsidRPr="00C85109">
        <w:rPr>
          <w:rFonts w:asciiTheme="minorHAnsi" w:hAnsiTheme="minorHAnsi" w:cstheme="minorHAnsi"/>
          <w:szCs w:val="21"/>
        </w:rPr>
        <w:t>https://ipsworks.org/wp-content/uploads/2020/07/ips-evidence-5-29-20.pptx</w:t>
      </w:r>
    </w:p>
    <w:p w14:paraId="4EA0CDD1" w14:textId="35B840F0" w:rsidR="00E35816" w:rsidRPr="00C85109" w:rsidRDefault="00E35816" w:rsidP="00CE427B">
      <w:pPr>
        <w:pStyle w:val="EndNoteBibliography"/>
        <w:spacing w:after="120" w:line="276" w:lineRule="auto"/>
        <w:ind w:left="851" w:hanging="491"/>
        <w:rPr>
          <w:rFonts w:asciiTheme="minorHAnsi" w:hAnsiTheme="minorHAnsi" w:cstheme="minorHAnsi"/>
          <w:sz w:val="21"/>
          <w:szCs w:val="21"/>
        </w:rPr>
      </w:pPr>
      <w:bookmarkStart w:id="172" w:name="_Hlk41916458"/>
      <w:r w:rsidRPr="00C85109">
        <w:rPr>
          <w:rFonts w:asciiTheme="minorHAnsi" w:hAnsiTheme="minorHAnsi" w:cstheme="minorHAnsi"/>
          <w:sz w:val="21"/>
          <w:szCs w:val="21"/>
        </w:rPr>
        <w:t xml:space="preserve">Bouck, E. C. (2012). Secondary students with moderate/severe intellectual disability: </w:t>
      </w:r>
      <w:r w:rsidR="004D34CE" w:rsidRPr="00C85109">
        <w:rPr>
          <w:rFonts w:asciiTheme="minorHAnsi" w:hAnsiTheme="minorHAnsi" w:cstheme="minorHAnsi"/>
          <w:sz w:val="21"/>
          <w:szCs w:val="21"/>
        </w:rPr>
        <w:t>C</w:t>
      </w:r>
      <w:r w:rsidRPr="00C85109">
        <w:rPr>
          <w:rFonts w:asciiTheme="minorHAnsi" w:hAnsiTheme="minorHAnsi" w:cstheme="minorHAnsi"/>
          <w:sz w:val="21"/>
          <w:szCs w:val="21"/>
        </w:rPr>
        <w:t xml:space="preserve">onsiderations of curriculum and post-school outcomes from the National Longitudinal Transition Study-2. </w:t>
      </w:r>
      <w:r w:rsidRPr="00C85109">
        <w:rPr>
          <w:rFonts w:asciiTheme="minorHAnsi" w:hAnsiTheme="minorHAnsi" w:cstheme="minorHAnsi"/>
          <w:i/>
          <w:sz w:val="21"/>
          <w:szCs w:val="21"/>
        </w:rPr>
        <w:t>Journal of Intellectual Disability Research, 56</w:t>
      </w:r>
      <w:r w:rsidRPr="00C85109">
        <w:rPr>
          <w:rFonts w:asciiTheme="minorHAnsi" w:hAnsiTheme="minorHAnsi" w:cstheme="minorHAnsi"/>
          <w:sz w:val="21"/>
          <w:szCs w:val="21"/>
        </w:rPr>
        <w:t>(12), 1175-1186.</w:t>
      </w:r>
      <w:r w:rsidR="00195CF2" w:rsidRPr="00C85109">
        <w:rPr>
          <w:rFonts w:asciiTheme="minorHAnsi" w:hAnsiTheme="minorHAnsi" w:cstheme="minorHAnsi"/>
          <w:sz w:val="21"/>
          <w:szCs w:val="21"/>
        </w:rPr>
        <w:t xml:space="preserve"> </w:t>
      </w:r>
      <w:r w:rsidR="00E13DA1" w:rsidRPr="00C85109">
        <w:rPr>
          <w:rFonts w:asciiTheme="minorHAnsi" w:hAnsiTheme="minorHAnsi" w:cstheme="minorHAnsi"/>
          <w:sz w:val="21"/>
          <w:szCs w:val="21"/>
        </w:rPr>
        <w:t>https://doi.org/10.1111/j.1365-2788.2011.01517.x</w:t>
      </w:r>
    </w:p>
    <w:p w14:paraId="78A00064" w14:textId="064394B1" w:rsidR="00FA07AA" w:rsidRPr="00C85109" w:rsidRDefault="00FA07AA" w:rsidP="00CE427B">
      <w:pPr>
        <w:pStyle w:val="EndNoteBibliography"/>
        <w:spacing w:after="120" w:line="276" w:lineRule="auto"/>
        <w:ind w:left="851" w:hanging="491"/>
        <w:rPr>
          <w:rFonts w:asciiTheme="minorHAnsi" w:hAnsiTheme="minorHAnsi" w:cstheme="minorHAnsi"/>
          <w:sz w:val="21"/>
          <w:szCs w:val="21"/>
        </w:rPr>
      </w:pPr>
      <w:r w:rsidRPr="00C85109">
        <w:rPr>
          <w:rFonts w:asciiTheme="minorHAnsi" w:hAnsiTheme="minorHAnsi" w:cstheme="minorHAnsi"/>
          <w:sz w:val="21"/>
          <w:szCs w:val="21"/>
        </w:rPr>
        <w:t xml:space="preserve">Brine, A., &amp; Kiernan, C. </w:t>
      </w:r>
      <w:r w:rsidR="007811F5" w:rsidRPr="00C85109">
        <w:rPr>
          <w:rFonts w:asciiTheme="minorHAnsi" w:hAnsiTheme="minorHAnsi" w:cstheme="minorHAnsi"/>
          <w:sz w:val="21"/>
          <w:szCs w:val="21"/>
        </w:rPr>
        <w:t>(</w:t>
      </w:r>
      <w:r w:rsidRPr="00C85109">
        <w:rPr>
          <w:rFonts w:asciiTheme="minorHAnsi" w:hAnsiTheme="minorHAnsi" w:cstheme="minorHAnsi"/>
          <w:sz w:val="21"/>
          <w:szCs w:val="21"/>
        </w:rPr>
        <w:t>n.d.).</w:t>
      </w:r>
      <w:r w:rsidR="007811F5" w:rsidRPr="00C85109">
        <w:rPr>
          <w:rFonts w:asciiTheme="minorHAnsi" w:hAnsiTheme="minorHAnsi" w:cstheme="minorHAnsi"/>
          <w:sz w:val="21"/>
          <w:szCs w:val="21"/>
        </w:rPr>
        <w:t xml:space="preserve"> </w:t>
      </w:r>
      <w:r w:rsidR="007811F5" w:rsidRPr="00C85109">
        <w:rPr>
          <w:rFonts w:asciiTheme="minorHAnsi" w:hAnsiTheme="minorHAnsi" w:cstheme="minorHAnsi"/>
          <w:i/>
          <w:iCs/>
          <w:sz w:val="21"/>
          <w:szCs w:val="21"/>
        </w:rPr>
        <w:t>Project SEARCH</w:t>
      </w:r>
      <w:r w:rsidR="007811F5" w:rsidRPr="00C85109">
        <w:rPr>
          <w:rFonts w:asciiTheme="minorHAnsi" w:hAnsiTheme="minorHAnsi" w:cstheme="minorHAnsi"/>
          <w:sz w:val="21"/>
          <w:szCs w:val="21"/>
        </w:rPr>
        <w:t>.</w:t>
      </w:r>
      <w:r w:rsidR="00C653A1" w:rsidRPr="00C85109">
        <w:rPr>
          <w:rFonts w:asciiTheme="minorHAnsi" w:hAnsiTheme="minorHAnsi" w:cstheme="minorHAnsi"/>
          <w:sz w:val="21"/>
          <w:szCs w:val="21"/>
        </w:rPr>
        <w:t xml:space="preserve"> St George’s University Hospitals NHS Foundation Trust.</w:t>
      </w:r>
      <w:r w:rsidR="007811F5" w:rsidRPr="00C85109">
        <w:rPr>
          <w:rFonts w:asciiTheme="minorHAnsi" w:hAnsiTheme="minorHAnsi" w:cstheme="minorHAnsi"/>
          <w:sz w:val="21"/>
          <w:szCs w:val="21"/>
        </w:rPr>
        <w:t xml:space="preserve"> </w:t>
      </w:r>
      <w:r w:rsidR="007F7D7E" w:rsidRPr="00C85109">
        <w:rPr>
          <w:rFonts w:asciiTheme="minorHAnsi" w:hAnsiTheme="minorHAnsi" w:cstheme="minorHAnsi"/>
          <w:sz w:val="21"/>
          <w:szCs w:val="21"/>
        </w:rPr>
        <w:t>https://www.stgeorges.nhs.uk/work-with-us/work-experience-at-st-georges-university-hospitals-nhs-foundation-trust/project-search/</w:t>
      </w:r>
    </w:p>
    <w:p w14:paraId="0A04A525" w14:textId="1E9C186B" w:rsidR="00E35816" w:rsidRPr="00C85109" w:rsidRDefault="00E35816" w:rsidP="00CE427B">
      <w:pPr>
        <w:spacing w:before="0" w:after="120" w:line="276" w:lineRule="auto"/>
        <w:ind w:left="851" w:hanging="491"/>
        <w:rPr>
          <w:rFonts w:asciiTheme="minorHAnsi" w:hAnsiTheme="minorHAnsi" w:cstheme="minorHAnsi"/>
          <w:szCs w:val="21"/>
        </w:rPr>
      </w:pPr>
      <w:r w:rsidRPr="00C85109">
        <w:rPr>
          <w:rFonts w:asciiTheme="minorHAnsi" w:hAnsiTheme="minorHAnsi" w:cstheme="minorHAnsi"/>
          <w:szCs w:val="21"/>
        </w:rPr>
        <w:t>Brown, K. (2009)</w:t>
      </w:r>
      <w:r w:rsidR="009E391F" w:rsidRPr="00C85109">
        <w:rPr>
          <w:rFonts w:asciiTheme="minorHAnsi" w:hAnsiTheme="minorHAnsi" w:cstheme="minorHAnsi"/>
          <w:szCs w:val="21"/>
        </w:rPr>
        <w:t>.</w:t>
      </w:r>
      <w:r w:rsidRPr="00C85109">
        <w:rPr>
          <w:rFonts w:asciiTheme="minorHAnsi" w:hAnsiTheme="minorHAnsi" w:cstheme="minorHAnsi"/>
          <w:szCs w:val="21"/>
        </w:rPr>
        <w:t xml:space="preserve"> Connecting</w:t>
      </w:r>
      <w:r w:rsidR="000A67D0" w:rsidRPr="00C85109">
        <w:rPr>
          <w:rFonts w:asciiTheme="minorHAnsi" w:hAnsiTheme="minorHAnsi" w:cstheme="minorHAnsi"/>
          <w:szCs w:val="21"/>
        </w:rPr>
        <w:t xml:space="preserve"> youth and communities: Customized career planning for youth with psychiatric disabilities. </w:t>
      </w:r>
      <w:r w:rsidRPr="00C85109">
        <w:rPr>
          <w:rFonts w:asciiTheme="minorHAnsi" w:hAnsiTheme="minorHAnsi" w:cstheme="minorHAnsi"/>
          <w:i/>
          <w:iCs/>
          <w:szCs w:val="21"/>
        </w:rPr>
        <w:t xml:space="preserve">Journal of Sociology </w:t>
      </w:r>
      <w:r w:rsidR="004E3095" w:rsidRPr="00C85109">
        <w:rPr>
          <w:rFonts w:asciiTheme="minorHAnsi" w:hAnsiTheme="minorHAnsi" w:cstheme="minorHAnsi"/>
          <w:i/>
          <w:iCs/>
          <w:szCs w:val="21"/>
        </w:rPr>
        <w:t>and</w:t>
      </w:r>
      <w:r w:rsidRPr="00C85109">
        <w:rPr>
          <w:rFonts w:asciiTheme="minorHAnsi" w:hAnsiTheme="minorHAnsi" w:cstheme="minorHAnsi"/>
          <w:i/>
          <w:iCs/>
          <w:szCs w:val="21"/>
        </w:rPr>
        <w:t xml:space="preserve"> Social Welfare</w:t>
      </w:r>
      <w:r w:rsidR="000A67D0" w:rsidRPr="00C85109">
        <w:rPr>
          <w:rFonts w:asciiTheme="minorHAnsi" w:hAnsiTheme="minorHAnsi" w:cstheme="minorHAnsi"/>
          <w:i/>
          <w:iCs/>
          <w:szCs w:val="21"/>
        </w:rPr>
        <w:t>,</w:t>
      </w:r>
      <w:r w:rsidRPr="00C85109">
        <w:rPr>
          <w:rFonts w:asciiTheme="minorHAnsi" w:hAnsiTheme="minorHAnsi" w:cstheme="minorHAnsi"/>
          <w:i/>
          <w:iCs/>
          <w:szCs w:val="21"/>
        </w:rPr>
        <w:t xml:space="preserve"> 36</w:t>
      </w:r>
      <w:r w:rsidR="000A67D0" w:rsidRPr="00C85109">
        <w:rPr>
          <w:rFonts w:asciiTheme="minorHAnsi" w:hAnsiTheme="minorHAnsi" w:cstheme="minorHAnsi"/>
          <w:szCs w:val="21"/>
        </w:rPr>
        <w:t>(</w:t>
      </w:r>
      <w:r w:rsidRPr="00C85109">
        <w:rPr>
          <w:rFonts w:asciiTheme="minorHAnsi" w:hAnsiTheme="minorHAnsi" w:cstheme="minorHAnsi"/>
          <w:szCs w:val="21"/>
        </w:rPr>
        <w:t>4</w:t>
      </w:r>
      <w:r w:rsidR="000A67D0" w:rsidRPr="00C85109">
        <w:rPr>
          <w:rFonts w:asciiTheme="minorHAnsi" w:hAnsiTheme="minorHAnsi" w:cstheme="minorHAnsi"/>
          <w:szCs w:val="21"/>
        </w:rPr>
        <w:t>)</w:t>
      </w:r>
      <w:r w:rsidRPr="00C85109">
        <w:rPr>
          <w:rFonts w:asciiTheme="minorHAnsi" w:hAnsiTheme="minorHAnsi" w:cstheme="minorHAnsi"/>
          <w:szCs w:val="21"/>
        </w:rPr>
        <w:t xml:space="preserve">, </w:t>
      </w:r>
      <w:r w:rsidR="008E7350" w:rsidRPr="00C85109">
        <w:rPr>
          <w:rFonts w:asciiTheme="minorHAnsi" w:hAnsiTheme="minorHAnsi" w:cstheme="minorHAnsi"/>
          <w:szCs w:val="21"/>
        </w:rPr>
        <w:t>93-110</w:t>
      </w:r>
      <w:r w:rsidRPr="00C85109">
        <w:rPr>
          <w:rFonts w:asciiTheme="minorHAnsi" w:hAnsiTheme="minorHAnsi" w:cstheme="minorHAnsi"/>
          <w:szCs w:val="21"/>
        </w:rPr>
        <w:t xml:space="preserve">. </w:t>
      </w:r>
    </w:p>
    <w:bookmarkEnd w:id="172"/>
    <w:p w14:paraId="6F40243A" w14:textId="036CF0AB" w:rsidR="00E35816" w:rsidRPr="00C85109" w:rsidRDefault="00E35816" w:rsidP="00CE427B">
      <w:pPr>
        <w:spacing w:before="0" w:after="160" w:line="259" w:lineRule="auto"/>
        <w:ind w:left="851" w:hanging="491"/>
        <w:rPr>
          <w:rFonts w:asciiTheme="minorHAnsi" w:hAnsiTheme="minorHAnsi" w:cstheme="minorHAnsi"/>
          <w:szCs w:val="21"/>
        </w:rPr>
      </w:pPr>
      <w:r w:rsidRPr="00C85109">
        <w:rPr>
          <w:rFonts w:asciiTheme="minorHAnsi" w:hAnsiTheme="minorHAnsi" w:cstheme="minorHAnsi"/>
          <w:szCs w:val="21"/>
        </w:rPr>
        <w:t xml:space="preserve">Brown, L., &amp; Kessler, K. (2014). Generating integrated work sites for individuals with significant intellectual disabilities. </w:t>
      </w:r>
      <w:r w:rsidRPr="00C85109">
        <w:rPr>
          <w:rFonts w:asciiTheme="minorHAnsi" w:hAnsiTheme="minorHAnsi" w:cstheme="minorHAnsi"/>
          <w:i/>
          <w:szCs w:val="21"/>
        </w:rPr>
        <w:t>Journal of Vocational Rehabilitation, 40</w:t>
      </w:r>
      <w:r w:rsidRPr="00C85109">
        <w:rPr>
          <w:rFonts w:asciiTheme="minorHAnsi" w:hAnsiTheme="minorHAnsi" w:cstheme="minorHAnsi"/>
          <w:szCs w:val="21"/>
        </w:rPr>
        <w:t>(2), 85</w:t>
      </w:r>
      <w:r w:rsidR="002A7BC4" w:rsidRPr="00C85109">
        <w:rPr>
          <w:rFonts w:asciiTheme="minorHAnsi" w:hAnsiTheme="minorHAnsi" w:cstheme="minorHAnsi"/>
          <w:szCs w:val="21"/>
        </w:rPr>
        <w:t xml:space="preserve">-97. </w:t>
      </w:r>
      <w:r w:rsidR="00EC28CA" w:rsidRPr="00C85109">
        <w:rPr>
          <w:rFonts w:asciiTheme="minorHAnsi" w:hAnsiTheme="minorHAnsi" w:cstheme="minorHAnsi"/>
          <w:szCs w:val="21"/>
        </w:rPr>
        <w:t>https://doi.org/10.3233/JVR-140675</w:t>
      </w:r>
    </w:p>
    <w:p w14:paraId="0ABAB039" w14:textId="4C6DB1E6" w:rsidR="00E35816" w:rsidRPr="00C85109" w:rsidRDefault="00E35816" w:rsidP="00CE427B">
      <w:pPr>
        <w:spacing w:before="0" w:after="120" w:line="276" w:lineRule="auto"/>
        <w:ind w:left="851" w:hanging="491"/>
        <w:rPr>
          <w:rFonts w:asciiTheme="minorHAnsi" w:hAnsiTheme="minorHAnsi" w:cstheme="minorHAnsi"/>
          <w:szCs w:val="21"/>
        </w:rPr>
      </w:pPr>
      <w:r w:rsidRPr="00C85109">
        <w:rPr>
          <w:rFonts w:asciiTheme="minorHAnsi" w:hAnsiTheme="minorHAnsi" w:cstheme="minorHAnsi"/>
          <w:szCs w:val="21"/>
        </w:rPr>
        <w:t xml:space="preserve">Brown, M., </w:t>
      </w:r>
      <w:r w:rsidR="00897BF9" w:rsidRPr="00C85109">
        <w:rPr>
          <w:rFonts w:asciiTheme="minorHAnsi" w:hAnsiTheme="minorHAnsi" w:cstheme="minorHAnsi"/>
          <w:szCs w:val="21"/>
        </w:rPr>
        <w:t>Harry, M</w:t>
      </w:r>
      <w:r w:rsidR="00B372E0" w:rsidRPr="00C85109">
        <w:rPr>
          <w:rFonts w:asciiTheme="minorHAnsi" w:hAnsiTheme="minorHAnsi" w:cstheme="minorHAnsi"/>
          <w:szCs w:val="21"/>
        </w:rPr>
        <w:t xml:space="preserve">., &amp; </w:t>
      </w:r>
      <w:r w:rsidRPr="00C85109">
        <w:rPr>
          <w:rFonts w:asciiTheme="minorHAnsi" w:hAnsiTheme="minorHAnsi" w:cstheme="minorHAnsi"/>
          <w:szCs w:val="21"/>
        </w:rPr>
        <w:t xml:space="preserve">Mahoney, K. (2018). “It's </w:t>
      </w:r>
      <w:r w:rsidR="004B24C7" w:rsidRPr="00C85109">
        <w:rPr>
          <w:rFonts w:asciiTheme="minorHAnsi" w:hAnsiTheme="minorHAnsi" w:cstheme="minorHAnsi"/>
          <w:szCs w:val="21"/>
        </w:rPr>
        <w:t>like two roles we're playing</w:t>
      </w:r>
      <w:r w:rsidRPr="00C85109">
        <w:rPr>
          <w:rFonts w:asciiTheme="minorHAnsi" w:hAnsiTheme="minorHAnsi" w:cstheme="minorHAnsi"/>
          <w:szCs w:val="21"/>
        </w:rPr>
        <w:t xml:space="preserve">”: Parent </w:t>
      </w:r>
      <w:r w:rsidR="004B24C7" w:rsidRPr="00C85109">
        <w:rPr>
          <w:rFonts w:asciiTheme="minorHAnsi" w:hAnsiTheme="minorHAnsi" w:cstheme="minorHAnsi"/>
          <w:szCs w:val="21"/>
        </w:rPr>
        <w:t>perspectives on navigating self-directed service programs with adult children with intellectual and/or developmental disabilities</w:t>
      </w:r>
      <w:r w:rsidRPr="00C85109">
        <w:rPr>
          <w:rFonts w:asciiTheme="minorHAnsi" w:hAnsiTheme="minorHAnsi" w:cstheme="minorHAnsi"/>
          <w:szCs w:val="21"/>
        </w:rPr>
        <w:t xml:space="preserve">. </w:t>
      </w:r>
      <w:r w:rsidRPr="00C85109">
        <w:rPr>
          <w:rFonts w:asciiTheme="minorHAnsi" w:hAnsiTheme="minorHAnsi" w:cstheme="minorHAnsi"/>
          <w:i/>
          <w:iCs/>
          <w:szCs w:val="21"/>
        </w:rPr>
        <w:t>Journal of Policy and Practice in Intellectual Disabilities, 15</w:t>
      </w:r>
      <w:r w:rsidRPr="00C85109">
        <w:rPr>
          <w:rFonts w:asciiTheme="minorHAnsi" w:hAnsiTheme="minorHAnsi" w:cstheme="minorHAnsi"/>
          <w:szCs w:val="21"/>
        </w:rPr>
        <w:t xml:space="preserve">(4), 350-358. </w:t>
      </w:r>
      <w:r w:rsidR="00805557" w:rsidRPr="00C85109">
        <w:rPr>
          <w:rFonts w:asciiTheme="minorHAnsi" w:hAnsiTheme="minorHAnsi" w:cstheme="minorHAnsi"/>
          <w:szCs w:val="21"/>
        </w:rPr>
        <w:t>https://doi.org/10.1111/jppi.12270</w:t>
      </w:r>
    </w:p>
    <w:p w14:paraId="23676190" w14:textId="77777777" w:rsidR="002D7304" w:rsidRPr="00C85109" w:rsidRDefault="002D7304" w:rsidP="002D7304">
      <w:pPr>
        <w:spacing w:before="0" w:after="160" w:line="259" w:lineRule="auto"/>
        <w:ind w:left="851" w:hanging="491"/>
        <w:rPr>
          <w:rFonts w:asciiTheme="minorHAnsi" w:hAnsiTheme="minorHAnsi" w:cstheme="minorHAnsi"/>
          <w:szCs w:val="21"/>
        </w:rPr>
      </w:pPr>
      <w:r w:rsidRPr="00C85109">
        <w:rPr>
          <w:rFonts w:asciiTheme="minorHAnsi" w:hAnsiTheme="minorHAnsi" w:cstheme="minorHAnsi"/>
          <w:szCs w:val="21"/>
        </w:rPr>
        <w:t xml:space="preserve">Burke, C., &amp; Ball, K. (n.d.). </w:t>
      </w:r>
      <w:r w:rsidRPr="00C85109">
        <w:rPr>
          <w:rFonts w:asciiTheme="minorHAnsi" w:hAnsiTheme="minorHAnsi" w:cstheme="minorHAnsi"/>
          <w:i/>
          <w:iCs/>
          <w:szCs w:val="21"/>
        </w:rPr>
        <w:t>A guide to circles of support</w:t>
      </w:r>
      <w:r w:rsidRPr="00C85109">
        <w:rPr>
          <w:rFonts w:asciiTheme="minorHAnsi" w:hAnsiTheme="minorHAnsi" w:cstheme="minorHAnsi"/>
          <w:szCs w:val="21"/>
        </w:rPr>
        <w:t>. Foundation for People with Learning Disabilities. https://www.mentalhealth.org.uk/sites/default/files/a-guide-to-circles-of-support.pdf</w:t>
      </w:r>
    </w:p>
    <w:p w14:paraId="37072498" w14:textId="240CF84B" w:rsidR="00E35816" w:rsidRPr="00C85109" w:rsidRDefault="00E35816" w:rsidP="00CE427B">
      <w:pPr>
        <w:spacing w:before="0" w:after="120" w:line="276" w:lineRule="auto"/>
        <w:ind w:left="851" w:hanging="491"/>
        <w:rPr>
          <w:rFonts w:asciiTheme="minorHAnsi" w:hAnsiTheme="minorHAnsi" w:cstheme="minorHAnsi"/>
          <w:szCs w:val="21"/>
        </w:rPr>
      </w:pPr>
      <w:r w:rsidRPr="00C85109">
        <w:rPr>
          <w:rFonts w:asciiTheme="minorHAnsi" w:hAnsiTheme="minorHAnsi" w:cstheme="minorHAnsi"/>
          <w:szCs w:val="21"/>
        </w:rPr>
        <w:t>Butler, L. N., Sheppard-Jones, K., Whaley, B., Harrison, B.</w:t>
      </w:r>
      <w:r w:rsidR="00C51B93" w:rsidRPr="00C85109">
        <w:rPr>
          <w:rFonts w:asciiTheme="minorHAnsi" w:hAnsiTheme="minorHAnsi" w:cstheme="minorHAnsi"/>
          <w:szCs w:val="21"/>
        </w:rPr>
        <w:t>,</w:t>
      </w:r>
      <w:r w:rsidRPr="00C85109">
        <w:rPr>
          <w:rFonts w:asciiTheme="minorHAnsi" w:hAnsiTheme="minorHAnsi" w:cstheme="minorHAnsi"/>
          <w:szCs w:val="21"/>
        </w:rPr>
        <w:t xml:space="preserve"> &amp; </w:t>
      </w:r>
      <w:proofErr w:type="spellStart"/>
      <w:r w:rsidRPr="00C85109">
        <w:rPr>
          <w:rFonts w:asciiTheme="minorHAnsi" w:hAnsiTheme="minorHAnsi" w:cstheme="minorHAnsi"/>
          <w:szCs w:val="21"/>
        </w:rPr>
        <w:t>Osness</w:t>
      </w:r>
      <w:proofErr w:type="spellEnd"/>
      <w:r w:rsidRPr="00C85109">
        <w:rPr>
          <w:rFonts w:asciiTheme="minorHAnsi" w:hAnsiTheme="minorHAnsi" w:cstheme="minorHAnsi"/>
          <w:szCs w:val="21"/>
        </w:rPr>
        <w:t xml:space="preserve">, M. (2016). Does </w:t>
      </w:r>
      <w:r w:rsidR="00933B0B" w:rsidRPr="00C85109">
        <w:rPr>
          <w:rFonts w:asciiTheme="minorHAnsi" w:hAnsiTheme="minorHAnsi" w:cstheme="minorHAnsi"/>
          <w:szCs w:val="21"/>
        </w:rPr>
        <w:t>participation in higher education make a difference in life outcomes for students with intellectual disability</w:t>
      </w:r>
      <w:r w:rsidRPr="00C85109">
        <w:rPr>
          <w:rFonts w:asciiTheme="minorHAnsi" w:hAnsiTheme="minorHAnsi" w:cstheme="minorHAnsi"/>
          <w:szCs w:val="21"/>
        </w:rPr>
        <w:t xml:space="preserve">? </w:t>
      </w:r>
      <w:r w:rsidRPr="00C85109">
        <w:rPr>
          <w:rFonts w:asciiTheme="minorHAnsi" w:hAnsiTheme="minorHAnsi" w:cstheme="minorHAnsi"/>
          <w:i/>
          <w:iCs/>
          <w:szCs w:val="21"/>
        </w:rPr>
        <w:t>Journal of Vocational Rehabilitation</w:t>
      </w:r>
      <w:r w:rsidRPr="00C85109">
        <w:rPr>
          <w:rFonts w:asciiTheme="minorHAnsi" w:hAnsiTheme="minorHAnsi" w:cstheme="minorHAnsi"/>
          <w:szCs w:val="21"/>
        </w:rPr>
        <w:t xml:space="preserve">, </w:t>
      </w:r>
      <w:r w:rsidRPr="00C85109">
        <w:rPr>
          <w:rFonts w:asciiTheme="minorHAnsi" w:hAnsiTheme="minorHAnsi" w:cstheme="minorHAnsi"/>
          <w:i/>
          <w:iCs/>
          <w:szCs w:val="21"/>
        </w:rPr>
        <w:t>44</w:t>
      </w:r>
      <w:r w:rsidR="00FA0252" w:rsidRPr="00C85109">
        <w:rPr>
          <w:rFonts w:asciiTheme="minorHAnsi" w:hAnsiTheme="minorHAnsi" w:cstheme="minorHAnsi"/>
          <w:szCs w:val="21"/>
        </w:rPr>
        <w:t>(</w:t>
      </w:r>
      <w:r w:rsidRPr="00C85109">
        <w:rPr>
          <w:rFonts w:asciiTheme="minorHAnsi" w:hAnsiTheme="minorHAnsi" w:cstheme="minorHAnsi"/>
          <w:szCs w:val="21"/>
        </w:rPr>
        <w:t>3</w:t>
      </w:r>
      <w:r w:rsidR="00FA0252" w:rsidRPr="00C85109">
        <w:rPr>
          <w:rFonts w:asciiTheme="minorHAnsi" w:hAnsiTheme="minorHAnsi" w:cstheme="minorHAnsi"/>
          <w:szCs w:val="21"/>
        </w:rPr>
        <w:t>),</w:t>
      </w:r>
      <w:r w:rsidRPr="00C85109">
        <w:rPr>
          <w:rFonts w:asciiTheme="minorHAnsi" w:hAnsiTheme="minorHAnsi" w:cstheme="minorHAnsi"/>
          <w:szCs w:val="21"/>
        </w:rPr>
        <w:t xml:space="preserve"> 295</w:t>
      </w:r>
      <w:r w:rsidR="00FA0252" w:rsidRPr="00C85109">
        <w:rPr>
          <w:rFonts w:asciiTheme="minorHAnsi" w:hAnsiTheme="minorHAnsi" w:cstheme="minorHAnsi"/>
          <w:szCs w:val="21"/>
        </w:rPr>
        <w:t>-</w:t>
      </w:r>
      <w:r w:rsidRPr="00C85109">
        <w:rPr>
          <w:rFonts w:asciiTheme="minorHAnsi" w:hAnsiTheme="minorHAnsi" w:cstheme="minorHAnsi"/>
          <w:szCs w:val="21"/>
        </w:rPr>
        <w:t>298.</w:t>
      </w:r>
      <w:r w:rsidR="00FA0252" w:rsidRPr="00C85109">
        <w:rPr>
          <w:rFonts w:asciiTheme="minorHAnsi" w:hAnsiTheme="minorHAnsi" w:cstheme="minorHAnsi"/>
          <w:szCs w:val="21"/>
        </w:rPr>
        <w:t xml:space="preserve"> </w:t>
      </w:r>
      <w:r w:rsidR="009C25D2" w:rsidRPr="00C85109">
        <w:rPr>
          <w:rFonts w:asciiTheme="minorHAnsi" w:hAnsiTheme="minorHAnsi" w:cstheme="minorHAnsi"/>
          <w:szCs w:val="21"/>
        </w:rPr>
        <w:t>https://doi.org/10.3233/JVR-160804</w:t>
      </w:r>
    </w:p>
    <w:p w14:paraId="146C90C6" w14:textId="15E12628" w:rsidR="00E35816" w:rsidRPr="00C85109" w:rsidRDefault="00E35816" w:rsidP="00CE427B">
      <w:pPr>
        <w:spacing w:before="0" w:after="120" w:line="276" w:lineRule="auto"/>
        <w:ind w:left="851" w:hanging="491"/>
        <w:rPr>
          <w:rFonts w:asciiTheme="minorHAnsi" w:hAnsiTheme="minorHAnsi" w:cstheme="minorHAnsi"/>
          <w:szCs w:val="21"/>
        </w:rPr>
      </w:pPr>
      <w:bookmarkStart w:id="173" w:name="_Hlk41237450"/>
      <w:bookmarkStart w:id="174" w:name="_Hlk42526897"/>
      <w:bookmarkStart w:id="175" w:name="_Hlk41129159"/>
      <w:bookmarkEnd w:id="171"/>
      <w:r w:rsidRPr="00C85109">
        <w:rPr>
          <w:rFonts w:asciiTheme="minorHAnsi" w:hAnsiTheme="minorHAnsi" w:cstheme="minorHAnsi"/>
          <w:szCs w:val="21"/>
        </w:rPr>
        <w:lastRenderedPageBreak/>
        <w:t xml:space="preserve">Butterworth, J., Christensen, J., &amp; </w:t>
      </w:r>
      <w:proofErr w:type="spellStart"/>
      <w:r w:rsidRPr="00C85109">
        <w:rPr>
          <w:rFonts w:asciiTheme="minorHAnsi" w:hAnsiTheme="minorHAnsi" w:cstheme="minorHAnsi"/>
          <w:szCs w:val="21"/>
        </w:rPr>
        <w:t>Flippo</w:t>
      </w:r>
      <w:proofErr w:type="spellEnd"/>
      <w:r w:rsidRPr="00C85109">
        <w:rPr>
          <w:rFonts w:asciiTheme="minorHAnsi" w:hAnsiTheme="minorHAnsi" w:cstheme="minorHAnsi"/>
          <w:szCs w:val="21"/>
        </w:rPr>
        <w:t>, K. (2017). Partnerships in employment: Building strong coalitions to facili</w:t>
      </w:r>
      <w:r w:rsidR="009C5572" w:rsidRPr="00C85109">
        <w:rPr>
          <w:rFonts w:asciiTheme="minorHAnsi" w:hAnsiTheme="minorHAnsi" w:cstheme="minorHAnsi"/>
          <w:szCs w:val="21"/>
        </w:rPr>
        <w:t>t</w:t>
      </w:r>
      <w:r w:rsidRPr="00C85109">
        <w:rPr>
          <w:rFonts w:asciiTheme="minorHAnsi" w:hAnsiTheme="minorHAnsi" w:cstheme="minorHAnsi"/>
          <w:szCs w:val="21"/>
        </w:rPr>
        <w:t xml:space="preserve">ate systems change for youth and young adults. </w:t>
      </w:r>
      <w:r w:rsidRPr="00C85109">
        <w:rPr>
          <w:rFonts w:asciiTheme="minorHAnsi" w:hAnsiTheme="minorHAnsi" w:cstheme="minorHAnsi"/>
          <w:i/>
          <w:iCs/>
          <w:szCs w:val="21"/>
        </w:rPr>
        <w:t>Journal of Vocational Rehabilitation,</w:t>
      </w:r>
      <w:r w:rsidRPr="00C85109">
        <w:rPr>
          <w:rFonts w:asciiTheme="minorHAnsi" w:hAnsiTheme="minorHAnsi" w:cstheme="minorHAnsi"/>
          <w:szCs w:val="21"/>
        </w:rPr>
        <w:t xml:space="preserve"> </w:t>
      </w:r>
      <w:r w:rsidRPr="00C85109">
        <w:rPr>
          <w:rFonts w:asciiTheme="minorHAnsi" w:hAnsiTheme="minorHAnsi" w:cstheme="minorHAnsi"/>
          <w:i/>
          <w:iCs/>
          <w:szCs w:val="21"/>
        </w:rPr>
        <w:t>47</w:t>
      </w:r>
      <w:r w:rsidR="001E7A5A" w:rsidRPr="00C85109">
        <w:rPr>
          <w:rFonts w:asciiTheme="minorHAnsi" w:hAnsiTheme="minorHAnsi" w:cstheme="minorHAnsi"/>
          <w:szCs w:val="21"/>
        </w:rPr>
        <w:t>(3)</w:t>
      </w:r>
      <w:r w:rsidRPr="00C85109">
        <w:rPr>
          <w:rFonts w:asciiTheme="minorHAnsi" w:hAnsiTheme="minorHAnsi" w:cstheme="minorHAnsi"/>
          <w:szCs w:val="21"/>
        </w:rPr>
        <w:t xml:space="preserve">, 265-276. </w:t>
      </w:r>
      <w:bookmarkEnd w:id="173"/>
      <w:r w:rsidR="002F7F17" w:rsidRPr="00C85109">
        <w:rPr>
          <w:rFonts w:asciiTheme="minorHAnsi" w:hAnsiTheme="minorHAnsi" w:cstheme="minorHAnsi"/>
          <w:szCs w:val="21"/>
        </w:rPr>
        <w:t>https://doi.org/10.3233/JVR-170901</w:t>
      </w:r>
    </w:p>
    <w:p w14:paraId="65BA3CD6" w14:textId="5A350065" w:rsidR="00E35816" w:rsidRPr="00C85109" w:rsidRDefault="00E35816" w:rsidP="00CE427B">
      <w:pPr>
        <w:spacing w:before="0" w:after="160" w:line="259" w:lineRule="auto"/>
        <w:ind w:left="851" w:hanging="491"/>
        <w:rPr>
          <w:rFonts w:asciiTheme="minorHAnsi" w:hAnsiTheme="minorHAnsi" w:cstheme="minorHAnsi"/>
          <w:szCs w:val="21"/>
        </w:rPr>
      </w:pPr>
      <w:bookmarkStart w:id="176" w:name="_Hlk41244724"/>
      <w:bookmarkStart w:id="177" w:name="_Hlk41234258"/>
      <w:bookmarkEnd w:id="174"/>
      <w:bookmarkEnd w:id="175"/>
      <w:proofErr w:type="spellStart"/>
      <w:r w:rsidRPr="00C85109">
        <w:rPr>
          <w:rFonts w:asciiTheme="minorHAnsi" w:hAnsiTheme="minorHAnsi" w:cstheme="minorHAnsi"/>
          <w:szCs w:val="21"/>
        </w:rPr>
        <w:t>Bytschkow</w:t>
      </w:r>
      <w:proofErr w:type="spellEnd"/>
      <w:r w:rsidRPr="00C85109">
        <w:rPr>
          <w:rFonts w:asciiTheme="minorHAnsi" w:hAnsiTheme="minorHAnsi" w:cstheme="minorHAnsi"/>
          <w:szCs w:val="21"/>
        </w:rPr>
        <w:t xml:space="preserve">, T. (2016). </w:t>
      </w:r>
      <w:r w:rsidRPr="00C85109">
        <w:rPr>
          <w:rFonts w:asciiTheme="minorHAnsi" w:hAnsiTheme="minorHAnsi" w:cstheme="minorHAnsi"/>
          <w:i/>
          <w:iCs/>
          <w:szCs w:val="21"/>
        </w:rPr>
        <w:t>Assisting people with disabilities into work. A workbook and guide to creating your own employment circles of support</w:t>
      </w:r>
      <w:r w:rsidR="0032228A" w:rsidRPr="00C85109">
        <w:rPr>
          <w:rFonts w:asciiTheme="minorHAnsi" w:hAnsiTheme="minorHAnsi" w:cstheme="minorHAnsi"/>
          <w:i/>
          <w:iCs/>
          <w:szCs w:val="21"/>
        </w:rPr>
        <w:t>.</w:t>
      </w:r>
      <w:r w:rsidRPr="00C85109">
        <w:rPr>
          <w:rFonts w:asciiTheme="minorHAnsi" w:hAnsiTheme="minorHAnsi" w:cstheme="minorHAnsi"/>
          <w:szCs w:val="21"/>
        </w:rPr>
        <w:t xml:space="preserve"> Disability Advocacy and Information Service</w:t>
      </w:r>
      <w:r w:rsidR="00EA709D" w:rsidRPr="00C85109">
        <w:rPr>
          <w:rFonts w:asciiTheme="minorHAnsi" w:hAnsiTheme="minorHAnsi" w:cstheme="minorHAnsi"/>
          <w:szCs w:val="21"/>
        </w:rPr>
        <w:t>.</w:t>
      </w:r>
      <w:r w:rsidRPr="00C85109">
        <w:rPr>
          <w:rFonts w:asciiTheme="minorHAnsi" w:hAnsiTheme="minorHAnsi" w:cstheme="minorHAnsi"/>
          <w:szCs w:val="21"/>
        </w:rPr>
        <w:t xml:space="preserve"> http://www.dais.org.au/uploads/dais/Employment_Circles_of_Support/ECOS%20Guide-Final%20Copy.pdf</w:t>
      </w:r>
    </w:p>
    <w:bookmarkEnd w:id="169"/>
    <w:bookmarkEnd w:id="176"/>
    <w:bookmarkEnd w:id="177"/>
    <w:p w14:paraId="4DA7E71C" w14:textId="254822CF" w:rsidR="001B0252" w:rsidRPr="00C85109" w:rsidRDefault="001B0252" w:rsidP="001B0252">
      <w:pPr>
        <w:shd w:val="clear" w:color="auto" w:fill="FFFFFF"/>
        <w:spacing w:before="0" w:after="120" w:line="276" w:lineRule="auto"/>
        <w:ind w:left="851" w:hanging="491"/>
        <w:rPr>
          <w:rFonts w:asciiTheme="minorHAnsi" w:hAnsiTheme="minorHAnsi" w:cstheme="minorHAnsi"/>
          <w:szCs w:val="21"/>
          <w:lang w:val="en" w:eastAsia="en-AU"/>
        </w:rPr>
      </w:pPr>
      <w:r w:rsidRPr="00C85109">
        <w:rPr>
          <w:rFonts w:asciiTheme="minorHAnsi" w:hAnsiTheme="minorHAnsi" w:cstheme="minorHAnsi"/>
          <w:szCs w:val="21"/>
          <w:lang w:val="en" w:eastAsia="en-AU"/>
        </w:rPr>
        <w:t>Carter, E. W., Austin, D., &amp; Trainor, A. A. (2012). Predictors of postschool employment outcomes for young adults with severe disabilities</w:t>
      </w:r>
      <w:r w:rsidR="00E05267" w:rsidRPr="00C85109">
        <w:rPr>
          <w:rFonts w:asciiTheme="minorHAnsi" w:hAnsiTheme="minorHAnsi" w:cstheme="minorHAnsi"/>
          <w:szCs w:val="21"/>
          <w:lang w:val="en" w:eastAsia="en-AU"/>
        </w:rPr>
        <w:t>.</w:t>
      </w:r>
      <w:r w:rsidRPr="00C85109">
        <w:rPr>
          <w:rFonts w:asciiTheme="minorHAnsi" w:hAnsiTheme="minorHAnsi" w:cstheme="minorHAnsi"/>
          <w:szCs w:val="21"/>
          <w:lang w:val="en" w:eastAsia="en-AU"/>
        </w:rPr>
        <w:t xml:space="preserve"> </w:t>
      </w:r>
      <w:r w:rsidRPr="00C85109">
        <w:rPr>
          <w:rFonts w:asciiTheme="minorHAnsi" w:hAnsiTheme="minorHAnsi" w:cstheme="minorHAnsi"/>
          <w:i/>
          <w:iCs/>
          <w:szCs w:val="21"/>
          <w:lang w:val="en" w:eastAsia="en-AU"/>
        </w:rPr>
        <w:t xml:space="preserve">Journal of </w:t>
      </w:r>
      <w:r w:rsidR="00E05267" w:rsidRPr="00C85109">
        <w:rPr>
          <w:rFonts w:asciiTheme="minorHAnsi" w:hAnsiTheme="minorHAnsi" w:cstheme="minorHAnsi"/>
          <w:i/>
          <w:iCs/>
          <w:szCs w:val="21"/>
          <w:lang w:val="en" w:eastAsia="en-AU"/>
        </w:rPr>
        <w:t>D</w:t>
      </w:r>
      <w:r w:rsidRPr="00C85109">
        <w:rPr>
          <w:rFonts w:asciiTheme="minorHAnsi" w:hAnsiTheme="minorHAnsi" w:cstheme="minorHAnsi"/>
          <w:i/>
          <w:iCs/>
          <w:szCs w:val="21"/>
          <w:lang w:val="en" w:eastAsia="en-AU"/>
        </w:rPr>
        <w:t xml:space="preserve">isability </w:t>
      </w:r>
      <w:r w:rsidR="00E05267" w:rsidRPr="00C85109">
        <w:rPr>
          <w:rFonts w:asciiTheme="minorHAnsi" w:hAnsiTheme="minorHAnsi" w:cstheme="minorHAnsi"/>
          <w:i/>
          <w:iCs/>
          <w:szCs w:val="21"/>
          <w:lang w:val="en" w:eastAsia="en-AU"/>
        </w:rPr>
        <w:t>P</w:t>
      </w:r>
      <w:r w:rsidRPr="00C85109">
        <w:rPr>
          <w:rFonts w:asciiTheme="minorHAnsi" w:hAnsiTheme="minorHAnsi" w:cstheme="minorHAnsi"/>
          <w:i/>
          <w:iCs/>
          <w:szCs w:val="21"/>
          <w:lang w:val="en" w:eastAsia="en-AU"/>
        </w:rPr>
        <w:t xml:space="preserve">olicy </w:t>
      </w:r>
      <w:r w:rsidR="00E05267" w:rsidRPr="00C85109">
        <w:rPr>
          <w:rFonts w:asciiTheme="minorHAnsi" w:hAnsiTheme="minorHAnsi" w:cstheme="minorHAnsi"/>
          <w:i/>
          <w:iCs/>
          <w:szCs w:val="21"/>
          <w:lang w:val="en" w:eastAsia="en-AU"/>
        </w:rPr>
        <w:t>S</w:t>
      </w:r>
      <w:r w:rsidRPr="00C85109">
        <w:rPr>
          <w:rFonts w:asciiTheme="minorHAnsi" w:hAnsiTheme="minorHAnsi" w:cstheme="minorHAnsi"/>
          <w:i/>
          <w:iCs/>
          <w:szCs w:val="21"/>
          <w:lang w:val="en" w:eastAsia="en-AU"/>
        </w:rPr>
        <w:t>tudies</w:t>
      </w:r>
      <w:r w:rsidRPr="00C85109">
        <w:rPr>
          <w:rFonts w:asciiTheme="minorHAnsi" w:hAnsiTheme="minorHAnsi" w:cstheme="minorHAnsi"/>
          <w:szCs w:val="21"/>
          <w:lang w:val="en" w:eastAsia="en-AU"/>
        </w:rPr>
        <w:t xml:space="preserve">, </w:t>
      </w:r>
      <w:r w:rsidRPr="00C85109">
        <w:rPr>
          <w:rFonts w:asciiTheme="minorHAnsi" w:hAnsiTheme="minorHAnsi" w:cstheme="minorHAnsi"/>
          <w:i/>
          <w:iCs/>
          <w:szCs w:val="21"/>
          <w:lang w:val="en" w:eastAsia="en-AU"/>
        </w:rPr>
        <w:t>23</w:t>
      </w:r>
      <w:r w:rsidRPr="00C85109">
        <w:rPr>
          <w:rFonts w:asciiTheme="minorHAnsi" w:hAnsiTheme="minorHAnsi" w:cstheme="minorHAnsi"/>
          <w:szCs w:val="21"/>
          <w:lang w:val="en" w:eastAsia="en-AU"/>
        </w:rPr>
        <w:t>(1)</w:t>
      </w:r>
      <w:r w:rsidR="00D95FB6" w:rsidRPr="00C85109">
        <w:rPr>
          <w:rFonts w:asciiTheme="minorHAnsi" w:hAnsiTheme="minorHAnsi" w:cstheme="minorHAnsi"/>
          <w:szCs w:val="21"/>
          <w:lang w:val="en" w:eastAsia="en-AU"/>
        </w:rPr>
        <w:t>,</w:t>
      </w:r>
      <w:r w:rsidRPr="00C85109">
        <w:rPr>
          <w:rFonts w:asciiTheme="minorHAnsi" w:hAnsiTheme="minorHAnsi" w:cstheme="minorHAnsi"/>
          <w:szCs w:val="21"/>
          <w:lang w:val="en" w:eastAsia="en-AU"/>
        </w:rPr>
        <w:t xml:space="preserve"> 50</w:t>
      </w:r>
      <w:r w:rsidR="00A50055" w:rsidRPr="00C85109">
        <w:rPr>
          <w:rFonts w:asciiTheme="minorHAnsi" w:hAnsiTheme="minorHAnsi" w:cstheme="minorHAnsi"/>
          <w:szCs w:val="21"/>
          <w:lang w:val="en" w:eastAsia="en-AU"/>
        </w:rPr>
        <w:t>-</w:t>
      </w:r>
      <w:r w:rsidRPr="00C85109">
        <w:rPr>
          <w:rFonts w:asciiTheme="minorHAnsi" w:hAnsiTheme="minorHAnsi" w:cstheme="minorHAnsi"/>
          <w:szCs w:val="21"/>
          <w:lang w:val="en" w:eastAsia="en-AU"/>
        </w:rPr>
        <w:t>63</w:t>
      </w:r>
      <w:r w:rsidR="00A50055" w:rsidRPr="00C85109">
        <w:rPr>
          <w:rFonts w:asciiTheme="minorHAnsi" w:hAnsiTheme="minorHAnsi" w:cstheme="minorHAnsi"/>
          <w:szCs w:val="21"/>
          <w:lang w:val="en" w:eastAsia="en-AU"/>
        </w:rPr>
        <w:t xml:space="preserve">. </w:t>
      </w:r>
      <w:r w:rsidR="00B5752D" w:rsidRPr="00C85109">
        <w:rPr>
          <w:rFonts w:asciiTheme="minorHAnsi" w:hAnsiTheme="minorHAnsi" w:cstheme="minorHAnsi"/>
          <w:szCs w:val="21"/>
          <w:lang w:val="en" w:eastAsia="en-AU"/>
        </w:rPr>
        <w:t>https://doi.org/10.1177/1044207311414680</w:t>
      </w:r>
    </w:p>
    <w:p w14:paraId="44874A53" w14:textId="081B017A" w:rsidR="001B0252" w:rsidRPr="00C85109" w:rsidRDefault="001B0252" w:rsidP="001B0252">
      <w:pPr>
        <w:shd w:val="clear" w:color="auto" w:fill="FFFFFF"/>
        <w:spacing w:before="0" w:after="120" w:line="276" w:lineRule="auto"/>
        <w:ind w:left="851" w:hanging="491"/>
        <w:rPr>
          <w:rFonts w:asciiTheme="minorHAnsi" w:hAnsiTheme="minorHAnsi" w:cstheme="minorHAnsi"/>
          <w:szCs w:val="21"/>
          <w:lang w:val="en" w:eastAsia="en-AU"/>
        </w:rPr>
      </w:pPr>
      <w:r w:rsidRPr="00C85109">
        <w:rPr>
          <w:rFonts w:asciiTheme="minorHAnsi" w:hAnsiTheme="minorHAnsi" w:cstheme="minorHAnsi"/>
          <w:szCs w:val="21"/>
          <w:lang w:val="en" w:eastAsia="en-AU"/>
        </w:rPr>
        <w:t xml:space="preserve">Carter, E. W., McMillan, E., &amp; Willis, W. (2017). The </w:t>
      </w:r>
      <w:proofErr w:type="spellStart"/>
      <w:r w:rsidRPr="00C85109">
        <w:rPr>
          <w:rFonts w:asciiTheme="minorHAnsi" w:hAnsiTheme="minorHAnsi" w:cstheme="minorHAnsi"/>
          <w:szCs w:val="21"/>
          <w:lang w:val="en" w:eastAsia="en-AU"/>
        </w:rPr>
        <w:t>TennesseeWorks</w:t>
      </w:r>
      <w:proofErr w:type="spellEnd"/>
      <w:r w:rsidRPr="00C85109">
        <w:rPr>
          <w:rFonts w:asciiTheme="minorHAnsi" w:hAnsiTheme="minorHAnsi" w:cstheme="minorHAnsi"/>
          <w:szCs w:val="21"/>
          <w:lang w:val="en" w:eastAsia="en-AU"/>
        </w:rPr>
        <w:t xml:space="preserve"> </w:t>
      </w:r>
      <w:r w:rsidR="00324319" w:rsidRPr="00C85109">
        <w:rPr>
          <w:rFonts w:asciiTheme="minorHAnsi" w:hAnsiTheme="minorHAnsi" w:cstheme="minorHAnsi"/>
          <w:szCs w:val="21"/>
          <w:lang w:val="en" w:eastAsia="en-AU"/>
        </w:rPr>
        <w:t>p</w:t>
      </w:r>
      <w:r w:rsidRPr="00C85109">
        <w:rPr>
          <w:rFonts w:asciiTheme="minorHAnsi" w:hAnsiTheme="minorHAnsi" w:cstheme="minorHAnsi"/>
          <w:szCs w:val="21"/>
          <w:lang w:val="en" w:eastAsia="en-AU"/>
        </w:rPr>
        <w:t xml:space="preserve">artnership: Elevating employment outcomes for people with intellectual and developmental disabilities. </w:t>
      </w:r>
      <w:r w:rsidRPr="00C85109">
        <w:rPr>
          <w:rFonts w:asciiTheme="minorHAnsi" w:hAnsiTheme="minorHAnsi" w:cstheme="minorHAnsi"/>
          <w:i/>
          <w:iCs/>
          <w:szCs w:val="21"/>
          <w:lang w:val="en" w:eastAsia="en-AU"/>
        </w:rPr>
        <w:t>Journal of Vocational Rehabilitation</w:t>
      </w:r>
      <w:r w:rsidR="00A80FCE" w:rsidRPr="00C85109">
        <w:rPr>
          <w:rFonts w:asciiTheme="minorHAnsi" w:hAnsiTheme="minorHAnsi" w:cstheme="minorHAnsi"/>
          <w:i/>
          <w:iCs/>
          <w:szCs w:val="21"/>
          <w:lang w:val="en" w:eastAsia="en-AU"/>
        </w:rPr>
        <w:t>, 47</w:t>
      </w:r>
      <w:r w:rsidRPr="00C85109">
        <w:rPr>
          <w:rFonts w:asciiTheme="minorHAnsi" w:hAnsiTheme="minorHAnsi" w:cstheme="minorHAnsi"/>
          <w:szCs w:val="21"/>
          <w:lang w:val="en" w:eastAsia="en-AU"/>
        </w:rPr>
        <w:t>(3), 365</w:t>
      </w:r>
      <w:r w:rsidR="00A80FCE" w:rsidRPr="00C85109">
        <w:rPr>
          <w:rFonts w:asciiTheme="minorHAnsi" w:hAnsiTheme="minorHAnsi" w:cstheme="minorHAnsi"/>
          <w:szCs w:val="21"/>
          <w:lang w:val="en" w:eastAsia="en-AU"/>
        </w:rPr>
        <w:t>-378</w:t>
      </w:r>
      <w:r w:rsidRPr="00C85109">
        <w:rPr>
          <w:rFonts w:asciiTheme="minorHAnsi" w:hAnsiTheme="minorHAnsi" w:cstheme="minorHAnsi"/>
          <w:szCs w:val="21"/>
          <w:lang w:val="en" w:eastAsia="en-AU"/>
        </w:rPr>
        <w:t xml:space="preserve">. </w:t>
      </w:r>
      <w:r w:rsidR="006A6FCB" w:rsidRPr="00C85109">
        <w:rPr>
          <w:rFonts w:asciiTheme="minorHAnsi" w:hAnsiTheme="minorHAnsi" w:cstheme="minorHAnsi"/>
          <w:szCs w:val="21"/>
          <w:lang w:val="en" w:eastAsia="en-AU"/>
        </w:rPr>
        <w:t>https://doi.org/10.3233/JVR-170909</w:t>
      </w:r>
    </w:p>
    <w:p w14:paraId="2B71021B" w14:textId="3E5D99F5" w:rsidR="00E35816" w:rsidRPr="00C85109" w:rsidRDefault="00E35816" w:rsidP="00CE427B">
      <w:pPr>
        <w:shd w:val="clear" w:color="auto" w:fill="FFFFFF"/>
        <w:spacing w:before="0" w:after="120" w:line="276" w:lineRule="auto"/>
        <w:ind w:left="851" w:hanging="491"/>
        <w:rPr>
          <w:rFonts w:asciiTheme="minorHAnsi" w:hAnsiTheme="minorHAnsi" w:cstheme="minorHAnsi"/>
          <w:szCs w:val="21"/>
          <w:lang w:val="en" w:eastAsia="en-AU"/>
        </w:rPr>
      </w:pPr>
      <w:r w:rsidRPr="00C85109">
        <w:rPr>
          <w:rFonts w:asciiTheme="minorHAnsi" w:hAnsiTheme="minorHAnsi" w:cstheme="minorHAnsi"/>
          <w:szCs w:val="21"/>
          <w:lang w:val="en" w:eastAsia="en-AU"/>
        </w:rPr>
        <w:t xml:space="preserve">Casey, L., Davies, P., </w:t>
      </w:r>
      <w:proofErr w:type="spellStart"/>
      <w:r w:rsidRPr="00C85109">
        <w:rPr>
          <w:rFonts w:asciiTheme="minorHAnsi" w:hAnsiTheme="minorHAnsi" w:cstheme="minorHAnsi"/>
          <w:szCs w:val="21"/>
          <w:lang w:val="en" w:eastAsia="en-AU"/>
        </w:rPr>
        <w:t>Kalambouka</w:t>
      </w:r>
      <w:proofErr w:type="spellEnd"/>
      <w:r w:rsidRPr="00C85109">
        <w:rPr>
          <w:rFonts w:asciiTheme="minorHAnsi" w:hAnsiTheme="minorHAnsi" w:cstheme="minorHAnsi"/>
          <w:szCs w:val="21"/>
          <w:lang w:val="en" w:eastAsia="en-AU"/>
        </w:rPr>
        <w:t>, A., Nelson, N.</w:t>
      </w:r>
      <w:r w:rsidR="00EE09B5" w:rsidRPr="00C85109">
        <w:rPr>
          <w:rFonts w:asciiTheme="minorHAnsi" w:hAnsiTheme="minorHAnsi" w:cstheme="minorHAnsi"/>
          <w:szCs w:val="21"/>
          <w:lang w:val="en" w:eastAsia="en-AU"/>
        </w:rPr>
        <w:t>,</w:t>
      </w:r>
      <w:r w:rsidRPr="00C85109">
        <w:rPr>
          <w:rFonts w:asciiTheme="minorHAnsi" w:hAnsiTheme="minorHAnsi" w:cstheme="minorHAnsi"/>
          <w:szCs w:val="21"/>
          <w:lang w:val="en" w:eastAsia="en-AU"/>
        </w:rPr>
        <w:t xml:space="preserve"> &amp; Boyle, B. (200</w:t>
      </w:r>
      <w:r w:rsidR="001E4312" w:rsidRPr="00C85109">
        <w:rPr>
          <w:rFonts w:asciiTheme="minorHAnsi" w:hAnsiTheme="minorHAnsi" w:cstheme="minorHAnsi"/>
          <w:szCs w:val="21"/>
          <w:lang w:val="en" w:eastAsia="en-AU"/>
        </w:rPr>
        <w:t>6</w:t>
      </w:r>
      <w:r w:rsidRPr="00C85109">
        <w:rPr>
          <w:rFonts w:asciiTheme="minorHAnsi" w:hAnsiTheme="minorHAnsi" w:cstheme="minorHAnsi"/>
          <w:szCs w:val="21"/>
          <w:lang w:val="en" w:eastAsia="en-AU"/>
        </w:rPr>
        <w:t>)</w:t>
      </w:r>
      <w:r w:rsidR="00EE09B5" w:rsidRPr="00C85109">
        <w:rPr>
          <w:rFonts w:asciiTheme="minorHAnsi" w:hAnsiTheme="minorHAnsi" w:cstheme="minorHAnsi"/>
          <w:szCs w:val="21"/>
          <w:lang w:val="en" w:eastAsia="en-AU"/>
        </w:rPr>
        <w:t>.</w:t>
      </w:r>
      <w:r w:rsidRPr="00C85109">
        <w:rPr>
          <w:rFonts w:asciiTheme="minorHAnsi" w:hAnsiTheme="minorHAnsi" w:cstheme="minorHAnsi"/>
          <w:szCs w:val="21"/>
          <w:lang w:val="en" w:eastAsia="en-AU"/>
        </w:rPr>
        <w:t xml:space="preserve"> The influence of schooling on the aspirations of young people with special educational needs</w:t>
      </w:r>
      <w:r w:rsidR="00EE09B5" w:rsidRPr="00C85109">
        <w:rPr>
          <w:rFonts w:asciiTheme="minorHAnsi" w:hAnsiTheme="minorHAnsi" w:cstheme="minorHAnsi"/>
          <w:szCs w:val="21"/>
          <w:lang w:val="en" w:eastAsia="en-AU"/>
        </w:rPr>
        <w:t>.</w:t>
      </w:r>
      <w:r w:rsidRPr="00C85109">
        <w:rPr>
          <w:rFonts w:asciiTheme="minorHAnsi" w:hAnsiTheme="minorHAnsi" w:cstheme="minorHAnsi"/>
          <w:szCs w:val="21"/>
          <w:lang w:val="en" w:eastAsia="en-AU"/>
        </w:rPr>
        <w:t xml:space="preserve"> </w:t>
      </w:r>
      <w:r w:rsidRPr="00C85109">
        <w:rPr>
          <w:rFonts w:asciiTheme="minorHAnsi" w:hAnsiTheme="minorHAnsi" w:cstheme="minorHAnsi"/>
          <w:i/>
          <w:szCs w:val="21"/>
          <w:lang w:val="en" w:eastAsia="en-AU"/>
        </w:rPr>
        <w:t>British Educational Research Journal</w:t>
      </w:r>
      <w:r w:rsidRPr="00C85109">
        <w:rPr>
          <w:rFonts w:asciiTheme="minorHAnsi" w:hAnsiTheme="minorHAnsi" w:cstheme="minorHAnsi"/>
          <w:szCs w:val="21"/>
          <w:lang w:val="en" w:eastAsia="en-AU"/>
        </w:rPr>
        <w:t xml:space="preserve">, </w:t>
      </w:r>
      <w:r w:rsidRPr="00C85109">
        <w:rPr>
          <w:rFonts w:asciiTheme="minorHAnsi" w:hAnsiTheme="minorHAnsi" w:cstheme="minorHAnsi"/>
          <w:i/>
          <w:iCs/>
          <w:szCs w:val="21"/>
          <w:lang w:val="en" w:eastAsia="en-AU"/>
        </w:rPr>
        <w:t>32</w:t>
      </w:r>
      <w:r w:rsidR="00D96F6D" w:rsidRPr="00C85109">
        <w:rPr>
          <w:rFonts w:asciiTheme="minorHAnsi" w:hAnsiTheme="minorHAnsi" w:cstheme="minorHAnsi"/>
          <w:szCs w:val="21"/>
          <w:lang w:val="en" w:eastAsia="en-AU"/>
        </w:rPr>
        <w:t>(</w:t>
      </w:r>
      <w:r w:rsidRPr="00C85109">
        <w:rPr>
          <w:rFonts w:asciiTheme="minorHAnsi" w:hAnsiTheme="minorHAnsi" w:cstheme="minorHAnsi"/>
          <w:szCs w:val="21"/>
          <w:lang w:val="en" w:eastAsia="en-AU"/>
        </w:rPr>
        <w:t>2</w:t>
      </w:r>
      <w:r w:rsidR="00D96F6D" w:rsidRPr="00C85109">
        <w:rPr>
          <w:rFonts w:asciiTheme="minorHAnsi" w:hAnsiTheme="minorHAnsi" w:cstheme="minorHAnsi"/>
          <w:szCs w:val="21"/>
          <w:lang w:val="en" w:eastAsia="en-AU"/>
        </w:rPr>
        <w:t>),</w:t>
      </w:r>
      <w:r w:rsidRPr="00C85109">
        <w:rPr>
          <w:rFonts w:asciiTheme="minorHAnsi" w:hAnsiTheme="minorHAnsi" w:cstheme="minorHAnsi"/>
          <w:szCs w:val="21"/>
          <w:lang w:val="en" w:eastAsia="en-AU"/>
        </w:rPr>
        <w:t xml:space="preserve"> 273-290.</w:t>
      </w:r>
      <w:r w:rsidR="00B23EF1" w:rsidRPr="00C85109">
        <w:rPr>
          <w:rFonts w:asciiTheme="minorHAnsi" w:hAnsiTheme="minorHAnsi" w:cstheme="minorHAnsi"/>
          <w:szCs w:val="21"/>
          <w:lang w:val="en" w:eastAsia="en-AU"/>
        </w:rPr>
        <w:t xml:space="preserve"> </w:t>
      </w:r>
      <w:r w:rsidR="00362BE7" w:rsidRPr="00C85109">
        <w:rPr>
          <w:rFonts w:asciiTheme="minorHAnsi" w:hAnsiTheme="minorHAnsi" w:cstheme="minorHAnsi"/>
          <w:szCs w:val="21"/>
          <w:lang w:val="en" w:eastAsia="en-AU"/>
        </w:rPr>
        <w:t>https://doi.org/10.1080/01411920600569214</w:t>
      </w:r>
    </w:p>
    <w:p w14:paraId="296A91DD" w14:textId="6A6446DC" w:rsidR="00E35816" w:rsidRPr="00C85109" w:rsidRDefault="00E35816" w:rsidP="00CE427B">
      <w:pPr>
        <w:pStyle w:val="EndNoteBibliography"/>
        <w:spacing w:after="120" w:line="276" w:lineRule="auto"/>
        <w:ind w:left="851" w:hanging="491"/>
        <w:rPr>
          <w:rFonts w:asciiTheme="minorHAnsi" w:hAnsiTheme="minorHAnsi" w:cstheme="minorHAnsi"/>
          <w:sz w:val="21"/>
          <w:szCs w:val="21"/>
        </w:rPr>
      </w:pPr>
      <w:r w:rsidRPr="00C85109">
        <w:rPr>
          <w:rFonts w:asciiTheme="minorHAnsi" w:hAnsiTheme="minorHAnsi" w:cstheme="minorHAnsi"/>
          <w:sz w:val="21"/>
          <w:szCs w:val="21"/>
        </w:rPr>
        <w:t>Cassiani, C.</w:t>
      </w:r>
      <w:r w:rsidR="00A27085" w:rsidRPr="00C85109">
        <w:rPr>
          <w:rFonts w:asciiTheme="minorHAnsi" w:hAnsiTheme="minorHAnsi" w:cstheme="minorHAnsi"/>
          <w:sz w:val="21"/>
          <w:szCs w:val="21"/>
        </w:rPr>
        <w:t>,</w:t>
      </w:r>
      <w:r w:rsidRPr="00C85109">
        <w:rPr>
          <w:rFonts w:asciiTheme="minorHAnsi" w:hAnsiTheme="minorHAnsi" w:cstheme="minorHAnsi"/>
          <w:sz w:val="21"/>
          <w:szCs w:val="21"/>
        </w:rPr>
        <w:t xml:space="preserve"> </w:t>
      </w:r>
      <w:r w:rsidR="00A85B73" w:rsidRPr="00C85109">
        <w:rPr>
          <w:rFonts w:asciiTheme="minorHAnsi" w:hAnsiTheme="minorHAnsi" w:cstheme="minorHAnsi"/>
          <w:sz w:val="21"/>
          <w:szCs w:val="21"/>
        </w:rPr>
        <w:t xml:space="preserve">Stinson, J., &amp; </w:t>
      </w:r>
      <w:r w:rsidRPr="00C85109">
        <w:rPr>
          <w:rFonts w:asciiTheme="minorHAnsi" w:hAnsiTheme="minorHAnsi" w:cstheme="minorHAnsi"/>
          <w:sz w:val="21"/>
          <w:szCs w:val="21"/>
        </w:rPr>
        <w:t>Lindsay,</w:t>
      </w:r>
      <w:r w:rsidR="00A85B73" w:rsidRPr="00C85109">
        <w:rPr>
          <w:rFonts w:asciiTheme="minorHAnsi" w:hAnsiTheme="minorHAnsi" w:cstheme="minorHAnsi"/>
          <w:sz w:val="21"/>
          <w:szCs w:val="21"/>
        </w:rPr>
        <w:t xml:space="preserve"> S</w:t>
      </w:r>
      <w:r w:rsidRPr="00C85109">
        <w:rPr>
          <w:rFonts w:asciiTheme="minorHAnsi" w:hAnsiTheme="minorHAnsi" w:cstheme="minorHAnsi"/>
          <w:sz w:val="21"/>
          <w:szCs w:val="21"/>
        </w:rPr>
        <w:t>. (</w:t>
      </w:r>
      <w:r w:rsidR="005E440A" w:rsidRPr="00C85109">
        <w:rPr>
          <w:rFonts w:asciiTheme="minorHAnsi" w:hAnsiTheme="minorHAnsi" w:cstheme="minorHAnsi"/>
          <w:sz w:val="21"/>
          <w:szCs w:val="21"/>
        </w:rPr>
        <w:t>2020</w:t>
      </w:r>
      <w:r w:rsidRPr="00C85109">
        <w:rPr>
          <w:rFonts w:asciiTheme="minorHAnsi" w:hAnsiTheme="minorHAnsi" w:cstheme="minorHAnsi"/>
          <w:sz w:val="21"/>
          <w:szCs w:val="21"/>
        </w:rPr>
        <w:t xml:space="preserve">). E-mentoring for youth with physical disabilities preparing for employment: </w:t>
      </w:r>
      <w:r w:rsidR="009E7AE1" w:rsidRPr="00C85109">
        <w:rPr>
          <w:rFonts w:asciiTheme="minorHAnsi" w:hAnsiTheme="minorHAnsi" w:cstheme="minorHAnsi"/>
          <w:sz w:val="21"/>
          <w:szCs w:val="21"/>
        </w:rPr>
        <w:t>A</w:t>
      </w:r>
      <w:r w:rsidRPr="00C85109">
        <w:rPr>
          <w:rFonts w:asciiTheme="minorHAnsi" w:hAnsiTheme="minorHAnsi" w:cstheme="minorHAnsi"/>
          <w:sz w:val="21"/>
          <w:szCs w:val="21"/>
        </w:rPr>
        <w:t xml:space="preserve"> content analysis of support exchanged between participants of a mentored and non-mentored group. </w:t>
      </w:r>
      <w:r w:rsidR="00920C9E" w:rsidRPr="00C85109">
        <w:rPr>
          <w:rFonts w:asciiTheme="minorHAnsi" w:hAnsiTheme="minorHAnsi" w:cstheme="minorHAnsi"/>
          <w:i/>
          <w:iCs/>
          <w:sz w:val="21"/>
          <w:szCs w:val="21"/>
        </w:rPr>
        <w:t xml:space="preserve">Disability and Rehabilitation, </w:t>
      </w:r>
      <w:r w:rsidR="00C10B04" w:rsidRPr="00C85109">
        <w:rPr>
          <w:rFonts w:asciiTheme="minorHAnsi" w:hAnsiTheme="minorHAnsi" w:cstheme="minorHAnsi"/>
          <w:i/>
          <w:iCs/>
          <w:sz w:val="21"/>
          <w:szCs w:val="21"/>
        </w:rPr>
        <w:t>42</w:t>
      </w:r>
      <w:r w:rsidR="00C10B04" w:rsidRPr="00C85109">
        <w:rPr>
          <w:rFonts w:asciiTheme="minorHAnsi" w:hAnsiTheme="minorHAnsi" w:cstheme="minorHAnsi"/>
          <w:sz w:val="21"/>
          <w:szCs w:val="21"/>
        </w:rPr>
        <w:t>(14)</w:t>
      </w:r>
      <w:r w:rsidR="00061344" w:rsidRPr="00C85109">
        <w:rPr>
          <w:rFonts w:asciiTheme="minorHAnsi" w:hAnsiTheme="minorHAnsi" w:cstheme="minorHAnsi"/>
          <w:sz w:val="21"/>
          <w:szCs w:val="21"/>
        </w:rPr>
        <w:t>, 1963-1970.</w:t>
      </w:r>
      <w:r w:rsidR="00ED69FC" w:rsidRPr="00C85109">
        <w:rPr>
          <w:rFonts w:asciiTheme="minorHAnsi" w:hAnsiTheme="minorHAnsi" w:cstheme="minorHAnsi"/>
          <w:sz w:val="21"/>
          <w:szCs w:val="21"/>
        </w:rPr>
        <w:t xml:space="preserve"> https://doi.org/10.1080/09638288.2018.1543360</w:t>
      </w:r>
    </w:p>
    <w:p w14:paraId="786A8CC5" w14:textId="42932C36" w:rsidR="00E35816" w:rsidRPr="00C85109" w:rsidRDefault="00E35816" w:rsidP="00CE427B">
      <w:pPr>
        <w:pStyle w:val="EndNoteBibliography"/>
        <w:spacing w:after="120" w:line="276" w:lineRule="auto"/>
        <w:ind w:left="851" w:hanging="491"/>
        <w:rPr>
          <w:rFonts w:asciiTheme="minorHAnsi" w:hAnsiTheme="minorHAnsi" w:cstheme="minorHAnsi"/>
          <w:sz w:val="21"/>
          <w:szCs w:val="21"/>
        </w:rPr>
      </w:pPr>
      <w:r w:rsidRPr="00C85109">
        <w:rPr>
          <w:rFonts w:asciiTheme="minorHAnsi" w:hAnsiTheme="minorHAnsi" w:cstheme="minorHAnsi"/>
          <w:sz w:val="21"/>
          <w:szCs w:val="21"/>
        </w:rPr>
        <w:t xml:space="preserve">Cavanagh, J., Meacham, H., </w:t>
      </w:r>
      <w:r w:rsidR="001E61A3" w:rsidRPr="00C85109">
        <w:rPr>
          <w:rFonts w:asciiTheme="minorHAnsi" w:hAnsiTheme="minorHAnsi" w:cstheme="minorHAnsi"/>
          <w:sz w:val="21"/>
          <w:szCs w:val="21"/>
        </w:rPr>
        <w:t>P</w:t>
      </w:r>
      <w:r w:rsidR="007B10CD" w:rsidRPr="00C85109">
        <w:rPr>
          <w:rFonts w:asciiTheme="minorHAnsi" w:hAnsiTheme="minorHAnsi" w:cstheme="minorHAnsi"/>
          <w:sz w:val="21"/>
          <w:szCs w:val="21"/>
        </w:rPr>
        <w:t>ariona-</w:t>
      </w:r>
      <w:r w:rsidRPr="00C85109">
        <w:rPr>
          <w:rFonts w:asciiTheme="minorHAnsi" w:hAnsiTheme="minorHAnsi" w:cstheme="minorHAnsi"/>
          <w:sz w:val="21"/>
          <w:szCs w:val="21"/>
        </w:rPr>
        <w:t xml:space="preserve">Cabrera, </w:t>
      </w:r>
      <w:r w:rsidR="00AE325A" w:rsidRPr="00C85109">
        <w:rPr>
          <w:rFonts w:asciiTheme="minorHAnsi" w:hAnsiTheme="minorHAnsi" w:cstheme="minorHAnsi"/>
          <w:sz w:val="21"/>
          <w:szCs w:val="21"/>
        </w:rPr>
        <w:t>P., &amp;</w:t>
      </w:r>
      <w:r w:rsidRPr="00C85109">
        <w:rPr>
          <w:rFonts w:asciiTheme="minorHAnsi" w:hAnsiTheme="minorHAnsi" w:cstheme="minorHAnsi"/>
          <w:sz w:val="21"/>
          <w:szCs w:val="21"/>
        </w:rPr>
        <w:t xml:space="preserve"> Bartram, T. (2019). Vocational learning for workers with intellectual disability: </w:t>
      </w:r>
      <w:r w:rsidR="008C3B36" w:rsidRPr="00C85109">
        <w:rPr>
          <w:rFonts w:asciiTheme="minorHAnsi" w:hAnsiTheme="minorHAnsi" w:cstheme="minorHAnsi"/>
          <w:sz w:val="21"/>
          <w:szCs w:val="21"/>
        </w:rPr>
        <w:t>I</w:t>
      </w:r>
      <w:r w:rsidRPr="00C85109">
        <w:rPr>
          <w:rFonts w:asciiTheme="minorHAnsi" w:hAnsiTheme="minorHAnsi" w:cstheme="minorHAnsi"/>
          <w:sz w:val="21"/>
          <w:szCs w:val="21"/>
        </w:rPr>
        <w:t>nterventions at two case study sites</w:t>
      </w:r>
      <w:r w:rsidR="008C3B36" w:rsidRPr="00C85109">
        <w:rPr>
          <w:rFonts w:asciiTheme="minorHAnsi" w:hAnsiTheme="minorHAnsi" w:cstheme="minorHAnsi"/>
          <w:sz w:val="21"/>
          <w:szCs w:val="21"/>
        </w:rPr>
        <w:t>.</w:t>
      </w:r>
      <w:r w:rsidRPr="00C85109">
        <w:rPr>
          <w:rFonts w:asciiTheme="minorHAnsi" w:hAnsiTheme="minorHAnsi" w:cstheme="minorHAnsi"/>
          <w:sz w:val="21"/>
          <w:szCs w:val="21"/>
        </w:rPr>
        <w:t xml:space="preserve"> </w:t>
      </w:r>
      <w:r w:rsidRPr="00C85109">
        <w:rPr>
          <w:rFonts w:asciiTheme="minorHAnsi" w:hAnsiTheme="minorHAnsi" w:cstheme="minorHAnsi"/>
          <w:i/>
          <w:iCs/>
          <w:sz w:val="21"/>
          <w:szCs w:val="21"/>
        </w:rPr>
        <w:t>Journal of Vocational Education &amp; Training, 71</w:t>
      </w:r>
      <w:r w:rsidR="005E0866" w:rsidRPr="00C85109">
        <w:rPr>
          <w:rFonts w:asciiTheme="minorHAnsi" w:hAnsiTheme="minorHAnsi" w:cstheme="minorHAnsi"/>
          <w:sz w:val="21"/>
          <w:szCs w:val="21"/>
        </w:rPr>
        <w:t>(</w:t>
      </w:r>
      <w:r w:rsidRPr="00C85109">
        <w:rPr>
          <w:rFonts w:asciiTheme="minorHAnsi" w:hAnsiTheme="minorHAnsi" w:cstheme="minorHAnsi"/>
          <w:sz w:val="21"/>
          <w:szCs w:val="21"/>
        </w:rPr>
        <w:t>3</w:t>
      </w:r>
      <w:r w:rsidR="005E0866" w:rsidRPr="00C85109">
        <w:rPr>
          <w:rFonts w:asciiTheme="minorHAnsi" w:hAnsiTheme="minorHAnsi" w:cstheme="minorHAnsi"/>
          <w:sz w:val="21"/>
          <w:szCs w:val="21"/>
        </w:rPr>
        <w:t>),</w:t>
      </w:r>
      <w:r w:rsidRPr="00C85109">
        <w:rPr>
          <w:rFonts w:asciiTheme="minorHAnsi" w:hAnsiTheme="minorHAnsi" w:cstheme="minorHAnsi"/>
          <w:sz w:val="21"/>
          <w:szCs w:val="21"/>
        </w:rPr>
        <w:t xml:space="preserve"> 350-367.</w:t>
      </w:r>
      <w:r w:rsidR="005E0866" w:rsidRPr="00C85109">
        <w:rPr>
          <w:rFonts w:asciiTheme="minorHAnsi" w:hAnsiTheme="minorHAnsi" w:cstheme="minorHAnsi"/>
          <w:sz w:val="21"/>
          <w:szCs w:val="21"/>
        </w:rPr>
        <w:t xml:space="preserve"> </w:t>
      </w:r>
      <w:r w:rsidR="000E665D" w:rsidRPr="00C85109">
        <w:rPr>
          <w:rFonts w:asciiTheme="minorHAnsi" w:hAnsiTheme="minorHAnsi" w:cstheme="minorHAnsi"/>
          <w:sz w:val="21"/>
          <w:szCs w:val="21"/>
        </w:rPr>
        <w:t>https://doi.org/10.1080/13636820.2019.1578819</w:t>
      </w:r>
    </w:p>
    <w:p w14:paraId="4B53353A" w14:textId="606E4F32" w:rsidR="00FF7BAC" w:rsidRPr="00C85109" w:rsidRDefault="00FF7BAC" w:rsidP="00CE427B">
      <w:pPr>
        <w:pStyle w:val="EndNoteBibliography"/>
        <w:spacing w:after="120" w:line="276" w:lineRule="auto"/>
        <w:ind w:left="851" w:hanging="491"/>
        <w:rPr>
          <w:rFonts w:asciiTheme="minorHAnsi" w:hAnsiTheme="minorHAnsi" w:cstheme="minorHAnsi"/>
          <w:sz w:val="21"/>
          <w:szCs w:val="21"/>
        </w:rPr>
      </w:pPr>
      <w:r w:rsidRPr="00C85109">
        <w:rPr>
          <w:rFonts w:asciiTheme="minorHAnsi" w:hAnsiTheme="minorHAnsi" w:cstheme="minorHAnsi"/>
          <w:sz w:val="21"/>
          <w:szCs w:val="21"/>
        </w:rPr>
        <w:t xml:space="preserve">Centre for Disability Studies. (n.d.). </w:t>
      </w:r>
      <w:r w:rsidR="009B1431" w:rsidRPr="00C85109">
        <w:rPr>
          <w:rFonts w:asciiTheme="minorHAnsi" w:hAnsiTheme="minorHAnsi" w:cstheme="minorHAnsi"/>
          <w:i/>
          <w:iCs/>
          <w:sz w:val="21"/>
          <w:szCs w:val="21"/>
        </w:rPr>
        <w:t>uni 2 beyond</w:t>
      </w:r>
      <w:r w:rsidR="009B1431" w:rsidRPr="00C85109">
        <w:rPr>
          <w:rFonts w:asciiTheme="minorHAnsi" w:hAnsiTheme="minorHAnsi" w:cstheme="minorHAnsi"/>
          <w:sz w:val="21"/>
          <w:szCs w:val="21"/>
        </w:rPr>
        <w:t>. https://cds.org.au/uni-2-beyond/</w:t>
      </w:r>
    </w:p>
    <w:p w14:paraId="2AA75854" w14:textId="6A9AAFB2" w:rsidR="00E35816" w:rsidRPr="00C85109" w:rsidRDefault="00E35816" w:rsidP="00CE427B">
      <w:pPr>
        <w:pStyle w:val="EndNoteBibliography"/>
        <w:spacing w:after="120" w:line="276" w:lineRule="auto"/>
        <w:ind w:left="851" w:hanging="491"/>
        <w:rPr>
          <w:rFonts w:asciiTheme="minorHAnsi" w:hAnsiTheme="minorHAnsi" w:cstheme="minorHAnsi"/>
          <w:sz w:val="21"/>
          <w:szCs w:val="21"/>
        </w:rPr>
      </w:pPr>
      <w:r w:rsidRPr="00C85109">
        <w:rPr>
          <w:rFonts w:asciiTheme="minorHAnsi" w:hAnsiTheme="minorHAnsi" w:cstheme="minorHAnsi"/>
          <w:sz w:val="21"/>
          <w:szCs w:val="21"/>
        </w:rPr>
        <w:t>Centre for Disability Studies</w:t>
      </w:r>
      <w:r w:rsidR="00A771E0" w:rsidRPr="00C85109">
        <w:rPr>
          <w:rFonts w:asciiTheme="minorHAnsi" w:hAnsiTheme="minorHAnsi" w:cstheme="minorHAnsi"/>
          <w:sz w:val="21"/>
          <w:szCs w:val="21"/>
        </w:rPr>
        <w:t>.</w:t>
      </w:r>
      <w:r w:rsidRPr="00C85109">
        <w:rPr>
          <w:rFonts w:asciiTheme="minorHAnsi" w:hAnsiTheme="minorHAnsi" w:cstheme="minorHAnsi"/>
          <w:sz w:val="21"/>
          <w:szCs w:val="21"/>
        </w:rPr>
        <w:t xml:space="preserve"> (2016). Providing a university experience for persons with intellectual disabilities</w:t>
      </w:r>
      <w:r w:rsidR="00A67C4C" w:rsidRPr="00C85109">
        <w:rPr>
          <w:rFonts w:asciiTheme="minorHAnsi" w:hAnsiTheme="minorHAnsi" w:cstheme="minorHAnsi"/>
          <w:sz w:val="21"/>
          <w:szCs w:val="21"/>
        </w:rPr>
        <w:t>.</w:t>
      </w:r>
      <w:r w:rsidRPr="00C85109">
        <w:rPr>
          <w:rFonts w:asciiTheme="minorHAnsi" w:hAnsiTheme="minorHAnsi" w:cstheme="minorHAnsi"/>
          <w:sz w:val="21"/>
          <w:szCs w:val="21"/>
        </w:rPr>
        <w:t xml:space="preserve"> </w:t>
      </w:r>
      <w:r w:rsidRPr="00C85109">
        <w:rPr>
          <w:rFonts w:asciiTheme="minorHAnsi" w:hAnsiTheme="minorHAnsi" w:cstheme="minorHAnsi"/>
          <w:i/>
          <w:iCs/>
          <w:sz w:val="21"/>
          <w:szCs w:val="21"/>
        </w:rPr>
        <w:t>Innovative Practices 2016 on Education and ICT</w:t>
      </w:r>
      <w:r w:rsidR="00ED5AE2" w:rsidRPr="00C85109">
        <w:rPr>
          <w:rFonts w:asciiTheme="minorHAnsi" w:hAnsiTheme="minorHAnsi" w:cstheme="minorHAnsi"/>
          <w:i/>
          <w:iCs/>
          <w:sz w:val="21"/>
          <w:szCs w:val="21"/>
        </w:rPr>
        <w:t>.</w:t>
      </w:r>
      <w:r w:rsidRPr="00C85109">
        <w:rPr>
          <w:rFonts w:asciiTheme="minorHAnsi" w:hAnsiTheme="minorHAnsi" w:cstheme="minorHAnsi"/>
          <w:sz w:val="21"/>
          <w:szCs w:val="21"/>
        </w:rPr>
        <w:t xml:space="preserve"> https://zeroproject.org/practice/australia-centre-for-disability-studies-cds/</w:t>
      </w:r>
    </w:p>
    <w:p w14:paraId="70F4649B" w14:textId="3877D89B" w:rsidR="00E35816" w:rsidRPr="00C85109" w:rsidRDefault="00E35816" w:rsidP="00CE427B">
      <w:pPr>
        <w:pStyle w:val="EndNoteBibliography"/>
        <w:spacing w:after="120" w:line="276" w:lineRule="auto"/>
        <w:ind w:left="851" w:hanging="491"/>
        <w:rPr>
          <w:rFonts w:asciiTheme="minorHAnsi" w:hAnsiTheme="minorHAnsi" w:cstheme="minorHAnsi"/>
          <w:sz w:val="21"/>
          <w:szCs w:val="21"/>
        </w:rPr>
      </w:pPr>
      <w:r w:rsidRPr="00C85109">
        <w:rPr>
          <w:rFonts w:asciiTheme="minorHAnsi" w:hAnsiTheme="minorHAnsi" w:cstheme="minorHAnsi"/>
          <w:sz w:val="21"/>
          <w:szCs w:val="21"/>
        </w:rPr>
        <w:t xml:space="preserve">Chambers, C. R., Hughes, C., &amp; Carter, E. W. (2004). Parent </w:t>
      </w:r>
      <w:r w:rsidR="005E1E19" w:rsidRPr="00C85109">
        <w:rPr>
          <w:rFonts w:asciiTheme="minorHAnsi" w:hAnsiTheme="minorHAnsi" w:cstheme="minorHAnsi"/>
          <w:sz w:val="21"/>
          <w:szCs w:val="21"/>
        </w:rPr>
        <w:t>and sibling perspectives on the transition to adulthood</w:t>
      </w:r>
      <w:r w:rsidRPr="00C85109">
        <w:rPr>
          <w:rFonts w:asciiTheme="minorHAnsi" w:hAnsiTheme="minorHAnsi" w:cstheme="minorHAnsi"/>
          <w:sz w:val="21"/>
          <w:szCs w:val="21"/>
        </w:rPr>
        <w:t xml:space="preserve">. </w:t>
      </w:r>
      <w:r w:rsidRPr="00C85109">
        <w:rPr>
          <w:rFonts w:asciiTheme="minorHAnsi" w:hAnsiTheme="minorHAnsi" w:cstheme="minorHAnsi"/>
          <w:i/>
          <w:sz w:val="21"/>
          <w:szCs w:val="21"/>
        </w:rPr>
        <w:t>Education and Training in Developmental Disabilities, 39</w:t>
      </w:r>
      <w:r w:rsidRPr="00C85109">
        <w:rPr>
          <w:rFonts w:asciiTheme="minorHAnsi" w:hAnsiTheme="minorHAnsi" w:cstheme="minorHAnsi"/>
          <w:sz w:val="21"/>
          <w:szCs w:val="21"/>
        </w:rPr>
        <w:t xml:space="preserve">(2), 79-94. </w:t>
      </w:r>
    </w:p>
    <w:p w14:paraId="6AC48332" w14:textId="0873DC03" w:rsidR="00E35816" w:rsidRPr="00C85109" w:rsidRDefault="00E35816" w:rsidP="00CE427B">
      <w:pPr>
        <w:spacing w:before="0" w:after="120" w:line="276" w:lineRule="auto"/>
        <w:ind w:left="851" w:hanging="491"/>
        <w:rPr>
          <w:rFonts w:asciiTheme="minorHAnsi" w:hAnsiTheme="minorHAnsi" w:cstheme="minorHAnsi"/>
          <w:szCs w:val="21"/>
        </w:rPr>
      </w:pPr>
      <w:bookmarkStart w:id="178" w:name="_Hlk42266606"/>
      <w:r w:rsidRPr="00C85109">
        <w:rPr>
          <w:rFonts w:asciiTheme="minorHAnsi" w:hAnsiTheme="minorHAnsi" w:cstheme="minorHAnsi"/>
          <w:szCs w:val="21"/>
        </w:rPr>
        <w:t>Christensen, J.</w:t>
      </w:r>
      <w:r w:rsidR="00B745F5" w:rsidRPr="00C85109">
        <w:rPr>
          <w:rFonts w:asciiTheme="minorHAnsi" w:hAnsiTheme="minorHAnsi" w:cstheme="minorHAnsi"/>
          <w:szCs w:val="21"/>
        </w:rPr>
        <w:t xml:space="preserve"> </w:t>
      </w:r>
      <w:r w:rsidRPr="00C85109">
        <w:rPr>
          <w:rFonts w:asciiTheme="minorHAnsi" w:hAnsiTheme="minorHAnsi" w:cstheme="minorHAnsi"/>
          <w:szCs w:val="21"/>
        </w:rPr>
        <w:t>J.</w:t>
      </w:r>
      <w:r w:rsidR="00B745F5" w:rsidRPr="00C85109">
        <w:rPr>
          <w:rFonts w:asciiTheme="minorHAnsi" w:hAnsiTheme="minorHAnsi" w:cstheme="minorHAnsi"/>
          <w:szCs w:val="21"/>
        </w:rPr>
        <w:t>,</w:t>
      </w:r>
      <w:r w:rsidRPr="00C85109">
        <w:rPr>
          <w:rFonts w:asciiTheme="minorHAnsi" w:hAnsiTheme="minorHAnsi" w:cstheme="minorHAnsi"/>
          <w:szCs w:val="21"/>
        </w:rPr>
        <w:t xml:space="preserve"> &amp; Richardson</w:t>
      </w:r>
      <w:r w:rsidR="0022757A" w:rsidRPr="00C85109">
        <w:rPr>
          <w:rFonts w:asciiTheme="minorHAnsi" w:hAnsiTheme="minorHAnsi" w:cstheme="minorHAnsi"/>
          <w:szCs w:val="21"/>
        </w:rPr>
        <w:t>,</w:t>
      </w:r>
      <w:r w:rsidRPr="00C85109">
        <w:rPr>
          <w:rFonts w:asciiTheme="minorHAnsi" w:hAnsiTheme="minorHAnsi" w:cstheme="minorHAnsi"/>
          <w:szCs w:val="21"/>
        </w:rPr>
        <w:t xml:space="preserve"> K. (2017)</w:t>
      </w:r>
      <w:r w:rsidR="009A67F7" w:rsidRPr="00C85109">
        <w:rPr>
          <w:rFonts w:asciiTheme="minorHAnsi" w:hAnsiTheme="minorHAnsi" w:cstheme="minorHAnsi"/>
          <w:szCs w:val="21"/>
        </w:rPr>
        <w:t>.</w:t>
      </w:r>
      <w:r w:rsidRPr="00C85109">
        <w:rPr>
          <w:rFonts w:asciiTheme="minorHAnsi" w:hAnsiTheme="minorHAnsi" w:cstheme="minorHAnsi"/>
          <w:szCs w:val="21"/>
        </w:rPr>
        <w:t xml:space="preserve"> Project SEARCH workshop to work: </w:t>
      </w:r>
      <w:r w:rsidR="0085596A" w:rsidRPr="00C85109">
        <w:rPr>
          <w:rFonts w:asciiTheme="minorHAnsi" w:hAnsiTheme="minorHAnsi" w:cstheme="minorHAnsi"/>
          <w:szCs w:val="21"/>
        </w:rPr>
        <w:t>P</w:t>
      </w:r>
      <w:r w:rsidRPr="00C85109">
        <w:rPr>
          <w:rFonts w:asciiTheme="minorHAnsi" w:hAnsiTheme="minorHAnsi" w:cstheme="minorHAnsi"/>
          <w:szCs w:val="21"/>
        </w:rPr>
        <w:t xml:space="preserve">articipant reflections on the journey through career discovery. </w:t>
      </w:r>
      <w:r w:rsidRPr="00C85109">
        <w:rPr>
          <w:rFonts w:asciiTheme="minorHAnsi" w:hAnsiTheme="minorHAnsi" w:cstheme="minorHAnsi"/>
          <w:i/>
          <w:iCs/>
          <w:szCs w:val="21"/>
        </w:rPr>
        <w:t>Journal of Vocational Rehabilitation</w:t>
      </w:r>
      <w:r w:rsidRPr="00C85109">
        <w:rPr>
          <w:rFonts w:asciiTheme="minorHAnsi" w:hAnsiTheme="minorHAnsi" w:cstheme="minorHAnsi"/>
          <w:szCs w:val="21"/>
        </w:rPr>
        <w:t xml:space="preserve">, </w:t>
      </w:r>
      <w:r w:rsidRPr="00C85109">
        <w:rPr>
          <w:rFonts w:asciiTheme="minorHAnsi" w:hAnsiTheme="minorHAnsi" w:cstheme="minorHAnsi"/>
          <w:i/>
          <w:iCs/>
          <w:szCs w:val="21"/>
        </w:rPr>
        <w:t>46</w:t>
      </w:r>
      <w:r w:rsidRPr="00C85109">
        <w:rPr>
          <w:rFonts w:asciiTheme="minorHAnsi" w:hAnsiTheme="minorHAnsi" w:cstheme="minorHAnsi"/>
          <w:szCs w:val="21"/>
        </w:rPr>
        <w:t>(3)</w:t>
      </w:r>
      <w:r w:rsidR="0085596A" w:rsidRPr="00C85109">
        <w:rPr>
          <w:rFonts w:asciiTheme="minorHAnsi" w:hAnsiTheme="minorHAnsi" w:cstheme="minorHAnsi"/>
          <w:szCs w:val="21"/>
        </w:rPr>
        <w:t xml:space="preserve">, </w:t>
      </w:r>
      <w:r w:rsidRPr="00C85109">
        <w:rPr>
          <w:rFonts w:asciiTheme="minorHAnsi" w:hAnsiTheme="minorHAnsi" w:cstheme="minorHAnsi"/>
          <w:szCs w:val="21"/>
        </w:rPr>
        <w:t>341</w:t>
      </w:r>
      <w:r w:rsidR="009A67F7" w:rsidRPr="00C85109">
        <w:rPr>
          <w:rFonts w:asciiTheme="minorHAnsi" w:hAnsiTheme="minorHAnsi" w:cstheme="minorHAnsi"/>
          <w:szCs w:val="21"/>
        </w:rPr>
        <w:t>-</w:t>
      </w:r>
      <w:r w:rsidRPr="00C85109">
        <w:rPr>
          <w:rFonts w:asciiTheme="minorHAnsi" w:hAnsiTheme="minorHAnsi" w:cstheme="minorHAnsi"/>
          <w:szCs w:val="21"/>
        </w:rPr>
        <w:t>54.</w:t>
      </w:r>
      <w:r w:rsidR="009A67F7" w:rsidRPr="00C85109">
        <w:rPr>
          <w:rFonts w:asciiTheme="minorHAnsi" w:hAnsiTheme="minorHAnsi" w:cstheme="minorHAnsi"/>
          <w:szCs w:val="21"/>
        </w:rPr>
        <w:t xml:space="preserve"> https://doi.org/10.3233/JVR-170871</w:t>
      </w:r>
    </w:p>
    <w:p w14:paraId="0FE9FCCB" w14:textId="78CC86A2" w:rsidR="00E35816" w:rsidRPr="00C85109" w:rsidRDefault="00E35816" w:rsidP="00CE427B">
      <w:pPr>
        <w:spacing w:before="0" w:after="120" w:line="276" w:lineRule="auto"/>
        <w:ind w:left="851" w:hanging="491"/>
        <w:rPr>
          <w:rFonts w:asciiTheme="minorHAnsi" w:hAnsiTheme="minorHAnsi" w:cstheme="minorHAnsi"/>
          <w:szCs w:val="21"/>
        </w:rPr>
      </w:pPr>
      <w:proofErr w:type="spellStart"/>
      <w:r w:rsidRPr="00C85109">
        <w:rPr>
          <w:rFonts w:asciiTheme="minorHAnsi" w:hAnsiTheme="minorHAnsi" w:cstheme="minorHAnsi"/>
          <w:szCs w:val="21"/>
        </w:rPr>
        <w:t>Cimera</w:t>
      </w:r>
      <w:proofErr w:type="spellEnd"/>
      <w:r w:rsidR="005703F8" w:rsidRPr="00C85109">
        <w:rPr>
          <w:rFonts w:asciiTheme="minorHAnsi" w:hAnsiTheme="minorHAnsi" w:cstheme="minorHAnsi"/>
          <w:szCs w:val="21"/>
        </w:rPr>
        <w:t>,</w:t>
      </w:r>
      <w:r w:rsidRPr="00C85109">
        <w:rPr>
          <w:rFonts w:asciiTheme="minorHAnsi" w:hAnsiTheme="minorHAnsi" w:cstheme="minorHAnsi"/>
          <w:szCs w:val="21"/>
        </w:rPr>
        <w:t xml:space="preserve"> R</w:t>
      </w:r>
      <w:r w:rsidR="005703F8" w:rsidRPr="00C85109">
        <w:rPr>
          <w:rFonts w:asciiTheme="minorHAnsi" w:hAnsiTheme="minorHAnsi" w:cstheme="minorHAnsi"/>
          <w:szCs w:val="21"/>
        </w:rPr>
        <w:t xml:space="preserve">. </w:t>
      </w:r>
      <w:r w:rsidRPr="00C85109">
        <w:rPr>
          <w:rFonts w:asciiTheme="minorHAnsi" w:hAnsiTheme="minorHAnsi" w:cstheme="minorHAnsi"/>
          <w:szCs w:val="21"/>
        </w:rPr>
        <w:t>E. (2011)</w:t>
      </w:r>
      <w:r w:rsidR="005703F8" w:rsidRPr="00C85109">
        <w:rPr>
          <w:rFonts w:asciiTheme="minorHAnsi" w:hAnsiTheme="minorHAnsi" w:cstheme="minorHAnsi"/>
          <w:szCs w:val="21"/>
        </w:rPr>
        <w:t>.</w:t>
      </w:r>
      <w:r w:rsidRPr="00C85109">
        <w:rPr>
          <w:rFonts w:asciiTheme="minorHAnsi" w:hAnsiTheme="minorHAnsi" w:cstheme="minorHAnsi"/>
          <w:szCs w:val="21"/>
        </w:rPr>
        <w:t xml:space="preserve"> Does being in sheltered workshops improve the employment outcomes of supported employees with intellectual disabilities? </w:t>
      </w:r>
      <w:r w:rsidRPr="00C85109">
        <w:rPr>
          <w:rFonts w:asciiTheme="minorHAnsi" w:hAnsiTheme="minorHAnsi" w:cstheme="minorHAnsi"/>
          <w:i/>
          <w:iCs/>
          <w:szCs w:val="21"/>
        </w:rPr>
        <w:t>J</w:t>
      </w:r>
      <w:r w:rsidR="00962FAF" w:rsidRPr="00C85109">
        <w:rPr>
          <w:rFonts w:asciiTheme="minorHAnsi" w:hAnsiTheme="minorHAnsi" w:cstheme="minorHAnsi"/>
          <w:i/>
          <w:iCs/>
          <w:szCs w:val="21"/>
        </w:rPr>
        <w:t>ournal of</w:t>
      </w:r>
      <w:r w:rsidRPr="00C85109">
        <w:rPr>
          <w:rFonts w:asciiTheme="minorHAnsi" w:hAnsiTheme="minorHAnsi" w:cstheme="minorHAnsi"/>
          <w:i/>
          <w:iCs/>
          <w:szCs w:val="21"/>
        </w:rPr>
        <w:t xml:space="preserve"> Vocat</w:t>
      </w:r>
      <w:r w:rsidR="00962FAF" w:rsidRPr="00C85109">
        <w:rPr>
          <w:rFonts w:asciiTheme="minorHAnsi" w:hAnsiTheme="minorHAnsi" w:cstheme="minorHAnsi"/>
          <w:i/>
          <w:iCs/>
          <w:szCs w:val="21"/>
        </w:rPr>
        <w:t>ional</w:t>
      </w:r>
      <w:r w:rsidRPr="00C85109">
        <w:rPr>
          <w:rFonts w:asciiTheme="minorHAnsi" w:hAnsiTheme="minorHAnsi" w:cstheme="minorHAnsi"/>
          <w:i/>
          <w:iCs/>
          <w:szCs w:val="21"/>
        </w:rPr>
        <w:t xml:space="preserve"> Rehabil</w:t>
      </w:r>
      <w:r w:rsidR="00962FAF" w:rsidRPr="00C85109">
        <w:rPr>
          <w:rFonts w:asciiTheme="minorHAnsi" w:hAnsiTheme="minorHAnsi" w:cstheme="minorHAnsi"/>
          <w:i/>
          <w:iCs/>
          <w:szCs w:val="21"/>
        </w:rPr>
        <w:t>itation</w:t>
      </w:r>
      <w:r w:rsidR="00962FAF" w:rsidRPr="00C85109">
        <w:rPr>
          <w:rFonts w:asciiTheme="minorHAnsi" w:hAnsiTheme="minorHAnsi" w:cstheme="minorHAnsi"/>
          <w:szCs w:val="21"/>
        </w:rPr>
        <w:t>,</w:t>
      </w:r>
      <w:r w:rsidRPr="00C85109">
        <w:rPr>
          <w:rFonts w:asciiTheme="minorHAnsi" w:hAnsiTheme="minorHAnsi" w:cstheme="minorHAnsi"/>
          <w:szCs w:val="21"/>
        </w:rPr>
        <w:t xml:space="preserve"> </w:t>
      </w:r>
      <w:r w:rsidRPr="00C85109">
        <w:rPr>
          <w:rFonts w:asciiTheme="minorHAnsi" w:hAnsiTheme="minorHAnsi" w:cstheme="minorHAnsi"/>
          <w:i/>
          <w:iCs/>
          <w:szCs w:val="21"/>
        </w:rPr>
        <w:t>35</w:t>
      </w:r>
      <w:r w:rsidRPr="00C85109">
        <w:rPr>
          <w:rFonts w:asciiTheme="minorHAnsi" w:hAnsiTheme="minorHAnsi" w:cstheme="minorHAnsi"/>
          <w:szCs w:val="21"/>
        </w:rPr>
        <w:t>(1)</w:t>
      </w:r>
      <w:r w:rsidR="005703F8" w:rsidRPr="00C85109">
        <w:rPr>
          <w:rFonts w:asciiTheme="minorHAnsi" w:hAnsiTheme="minorHAnsi" w:cstheme="minorHAnsi"/>
          <w:szCs w:val="21"/>
        </w:rPr>
        <w:t xml:space="preserve">, </w:t>
      </w:r>
      <w:r w:rsidRPr="00C85109">
        <w:rPr>
          <w:rFonts w:asciiTheme="minorHAnsi" w:hAnsiTheme="minorHAnsi" w:cstheme="minorHAnsi"/>
          <w:szCs w:val="21"/>
        </w:rPr>
        <w:t>21</w:t>
      </w:r>
      <w:r w:rsidR="005703F8" w:rsidRPr="00C85109">
        <w:rPr>
          <w:rFonts w:asciiTheme="minorHAnsi" w:hAnsiTheme="minorHAnsi" w:cstheme="minorHAnsi"/>
          <w:szCs w:val="21"/>
        </w:rPr>
        <w:t>-2</w:t>
      </w:r>
      <w:r w:rsidRPr="00C85109">
        <w:rPr>
          <w:rFonts w:asciiTheme="minorHAnsi" w:hAnsiTheme="minorHAnsi" w:cstheme="minorHAnsi"/>
          <w:szCs w:val="21"/>
        </w:rPr>
        <w:t>7.</w:t>
      </w:r>
      <w:r w:rsidR="005703F8" w:rsidRPr="00C85109">
        <w:rPr>
          <w:rFonts w:asciiTheme="minorHAnsi" w:hAnsiTheme="minorHAnsi" w:cstheme="minorHAnsi"/>
          <w:szCs w:val="21"/>
        </w:rPr>
        <w:t xml:space="preserve"> </w:t>
      </w:r>
      <w:r w:rsidR="00A80E83" w:rsidRPr="00C85109">
        <w:rPr>
          <w:rFonts w:asciiTheme="minorHAnsi" w:hAnsiTheme="minorHAnsi" w:cstheme="minorHAnsi"/>
          <w:szCs w:val="21"/>
        </w:rPr>
        <w:t>https://doi.org/</w:t>
      </w:r>
      <w:r w:rsidR="005C0C01" w:rsidRPr="00C85109">
        <w:rPr>
          <w:rFonts w:asciiTheme="minorHAnsi" w:hAnsiTheme="minorHAnsi" w:cstheme="minorHAnsi"/>
          <w:szCs w:val="21"/>
        </w:rPr>
        <w:t>10.3233/JVR-2011-0550</w:t>
      </w:r>
    </w:p>
    <w:p w14:paraId="6A5BDDEC" w14:textId="77777777" w:rsidR="00630AEE" w:rsidRPr="00C85109" w:rsidRDefault="00630AEE" w:rsidP="00630AEE">
      <w:pPr>
        <w:autoSpaceDE w:val="0"/>
        <w:autoSpaceDN w:val="0"/>
        <w:adjustRightInd w:val="0"/>
        <w:spacing w:before="0" w:after="120" w:line="276" w:lineRule="auto"/>
        <w:ind w:left="851" w:hanging="491"/>
        <w:rPr>
          <w:rFonts w:asciiTheme="minorHAnsi" w:hAnsiTheme="minorHAnsi" w:cstheme="minorHAnsi"/>
          <w:szCs w:val="21"/>
        </w:rPr>
      </w:pPr>
      <w:proofErr w:type="spellStart"/>
      <w:r w:rsidRPr="00C85109">
        <w:rPr>
          <w:rFonts w:asciiTheme="minorHAnsi" w:hAnsiTheme="minorHAnsi" w:cstheme="minorHAnsi"/>
          <w:szCs w:val="21"/>
        </w:rPr>
        <w:t>Cimera</w:t>
      </w:r>
      <w:proofErr w:type="spellEnd"/>
      <w:r w:rsidRPr="00C85109">
        <w:rPr>
          <w:rFonts w:asciiTheme="minorHAnsi" w:hAnsiTheme="minorHAnsi" w:cstheme="minorHAnsi"/>
          <w:szCs w:val="21"/>
        </w:rPr>
        <w:t xml:space="preserve">, R. E., Burgess, S., &amp; </w:t>
      </w:r>
      <w:proofErr w:type="spellStart"/>
      <w:r w:rsidRPr="00C85109">
        <w:rPr>
          <w:rFonts w:asciiTheme="minorHAnsi" w:hAnsiTheme="minorHAnsi" w:cstheme="minorHAnsi"/>
          <w:szCs w:val="21"/>
        </w:rPr>
        <w:t>Bedesem</w:t>
      </w:r>
      <w:proofErr w:type="spellEnd"/>
      <w:r w:rsidRPr="00C85109">
        <w:rPr>
          <w:rFonts w:asciiTheme="minorHAnsi" w:hAnsiTheme="minorHAnsi" w:cstheme="minorHAnsi"/>
          <w:szCs w:val="21"/>
        </w:rPr>
        <w:t xml:space="preserve">, P. L. (2014). Does providing transition services by age 14 produce better vocational outcomes for students with intellectual disability? </w:t>
      </w:r>
      <w:r w:rsidRPr="00C85109">
        <w:rPr>
          <w:rFonts w:asciiTheme="minorHAnsi" w:hAnsiTheme="minorHAnsi" w:cstheme="minorHAnsi"/>
          <w:i/>
          <w:iCs/>
          <w:szCs w:val="21"/>
        </w:rPr>
        <w:t>Research and Practice for Persons with Severe Disabilities</w:t>
      </w:r>
      <w:r w:rsidRPr="00C85109">
        <w:rPr>
          <w:rFonts w:asciiTheme="minorHAnsi" w:hAnsiTheme="minorHAnsi" w:cstheme="minorHAnsi"/>
          <w:szCs w:val="21"/>
        </w:rPr>
        <w:t xml:space="preserve">, </w:t>
      </w:r>
      <w:r w:rsidRPr="00C85109">
        <w:rPr>
          <w:rFonts w:asciiTheme="minorHAnsi" w:hAnsiTheme="minorHAnsi" w:cstheme="minorHAnsi"/>
          <w:i/>
          <w:iCs/>
          <w:szCs w:val="21"/>
        </w:rPr>
        <w:t>39</w:t>
      </w:r>
      <w:r w:rsidRPr="00C85109">
        <w:rPr>
          <w:rFonts w:asciiTheme="minorHAnsi" w:hAnsiTheme="minorHAnsi" w:cstheme="minorHAnsi"/>
          <w:szCs w:val="21"/>
        </w:rPr>
        <w:t>(1), 47-54. https://doi.org/10.1177/1540796914534633</w:t>
      </w:r>
    </w:p>
    <w:p w14:paraId="1E93B351" w14:textId="036FD6A4" w:rsidR="00E35816" w:rsidRPr="00C85109" w:rsidRDefault="00E35816" w:rsidP="00CE427B">
      <w:pPr>
        <w:spacing w:before="0" w:after="120" w:line="276" w:lineRule="auto"/>
        <w:ind w:left="851" w:hanging="491"/>
        <w:rPr>
          <w:rFonts w:asciiTheme="minorHAnsi" w:hAnsiTheme="minorHAnsi" w:cstheme="minorHAnsi"/>
          <w:szCs w:val="21"/>
        </w:rPr>
      </w:pPr>
      <w:proofErr w:type="spellStart"/>
      <w:r w:rsidRPr="00C85109">
        <w:rPr>
          <w:rFonts w:asciiTheme="minorHAnsi" w:hAnsiTheme="minorHAnsi" w:cstheme="minorHAnsi"/>
          <w:szCs w:val="21"/>
        </w:rPr>
        <w:t>Cimera</w:t>
      </w:r>
      <w:proofErr w:type="spellEnd"/>
      <w:r w:rsidRPr="00C85109">
        <w:rPr>
          <w:rFonts w:asciiTheme="minorHAnsi" w:hAnsiTheme="minorHAnsi" w:cstheme="minorHAnsi"/>
          <w:szCs w:val="21"/>
        </w:rPr>
        <w:t xml:space="preserve">, R. E., </w:t>
      </w:r>
      <w:proofErr w:type="spellStart"/>
      <w:r w:rsidRPr="00C85109">
        <w:rPr>
          <w:rFonts w:asciiTheme="minorHAnsi" w:hAnsiTheme="minorHAnsi" w:cstheme="minorHAnsi"/>
          <w:szCs w:val="21"/>
        </w:rPr>
        <w:t>Wehman</w:t>
      </w:r>
      <w:proofErr w:type="spellEnd"/>
      <w:r w:rsidRPr="00C85109">
        <w:rPr>
          <w:rFonts w:asciiTheme="minorHAnsi" w:hAnsiTheme="minorHAnsi" w:cstheme="minorHAnsi"/>
          <w:szCs w:val="21"/>
        </w:rPr>
        <w:t xml:space="preserve">, P., West, M., &amp; Burgess, S. (2011). Do sheltered workshops enhance employment outcomes for adults with autism spectrum disorder? </w:t>
      </w:r>
      <w:r w:rsidRPr="00C85109">
        <w:rPr>
          <w:rFonts w:asciiTheme="minorHAnsi" w:hAnsiTheme="minorHAnsi" w:cstheme="minorHAnsi"/>
          <w:i/>
          <w:iCs/>
          <w:szCs w:val="21"/>
        </w:rPr>
        <w:t>Autism</w:t>
      </w:r>
      <w:r w:rsidRPr="00C85109">
        <w:rPr>
          <w:rFonts w:asciiTheme="minorHAnsi" w:hAnsiTheme="minorHAnsi" w:cstheme="minorHAnsi"/>
          <w:szCs w:val="21"/>
        </w:rPr>
        <w:t xml:space="preserve">, </w:t>
      </w:r>
      <w:r w:rsidRPr="00C85109">
        <w:rPr>
          <w:rFonts w:asciiTheme="minorHAnsi" w:hAnsiTheme="minorHAnsi" w:cstheme="minorHAnsi"/>
          <w:i/>
          <w:iCs/>
          <w:szCs w:val="21"/>
        </w:rPr>
        <w:t>16</w:t>
      </w:r>
      <w:r w:rsidRPr="00C85109">
        <w:rPr>
          <w:rFonts w:asciiTheme="minorHAnsi" w:hAnsiTheme="minorHAnsi" w:cstheme="minorHAnsi"/>
          <w:szCs w:val="21"/>
        </w:rPr>
        <w:t xml:space="preserve">(1), 87-94. </w:t>
      </w:r>
      <w:r w:rsidR="00072CDA" w:rsidRPr="00C85109">
        <w:rPr>
          <w:rFonts w:asciiTheme="minorHAnsi" w:hAnsiTheme="minorHAnsi" w:cstheme="minorHAnsi"/>
          <w:szCs w:val="21"/>
        </w:rPr>
        <w:t>https://doi.org/10.1177/1362361311408129</w:t>
      </w:r>
    </w:p>
    <w:bookmarkEnd w:id="178"/>
    <w:p w14:paraId="3F6ABDD2" w14:textId="3986485C" w:rsidR="00E35816" w:rsidRPr="00C85109" w:rsidRDefault="00E35816" w:rsidP="00CE427B">
      <w:pPr>
        <w:spacing w:before="0" w:after="120" w:line="276" w:lineRule="auto"/>
        <w:ind w:left="851" w:hanging="491"/>
        <w:rPr>
          <w:rFonts w:asciiTheme="minorHAnsi" w:hAnsiTheme="minorHAnsi" w:cstheme="minorHAnsi"/>
          <w:szCs w:val="21"/>
        </w:rPr>
      </w:pPr>
      <w:r w:rsidRPr="00C85109">
        <w:rPr>
          <w:rFonts w:asciiTheme="minorHAnsi" w:hAnsiTheme="minorHAnsi" w:cstheme="minorHAnsi"/>
          <w:szCs w:val="21"/>
        </w:rPr>
        <w:lastRenderedPageBreak/>
        <w:t>Citron, T.</w:t>
      </w:r>
      <w:r w:rsidR="00313873" w:rsidRPr="00C85109">
        <w:rPr>
          <w:rFonts w:asciiTheme="minorHAnsi" w:hAnsiTheme="minorHAnsi" w:cstheme="minorHAnsi"/>
          <w:szCs w:val="21"/>
        </w:rPr>
        <w:t>,</w:t>
      </w:r>
      <w:r w:rsidRPr="00C85109">
        <w:rPr>
          <w:rFonts w:asciiTheme="minorHAnsi" w:hAnsiTheme="minorHAnsi" w:cstheme="minorHAnsi"/>
          <w:szCs w:val="21"/>
        </w:rPr>
        <w:t xml:space="preserve"> Brooks-Lane, N.</w:t>
      </w:r>
      <w:r w:rsidR="00313873" w:rsidRPr="00C85109">
        <w:rPr>
          <w:rFonts w:asciiTheme="minorHAnsi" w:hAnsiTheme="minorHAnsi" w:cstheme="minorHAnsi"/>
          <w:szCs w:val="21"/>
        </w:rPr>
        <w:t>,</w:t>
      </w:r>
      <w:r w:rsidRPr="00C85109">
        <w:rPr>
          <w:rFonts w:asciiTheme="minorHAnsi" w:hAnsiTheme="minorHAnsi" w:cstheme="minorHAnsi"/>
          <w:szCs w:val="21"/>
        </w:rPr>
        <w:t xml:space="preserve"> Crandell, D.</w:t>
      </w:r>
      <w:r w:rsidR="00313873" w:rsidRPr="00C85109">
        <w:rPr>
          <w:rFonts w:asciiTheme="minorHAnsi" w:hAnsiTheme="minorHAnsi" w:cstheme="minorHAnsi"/>
          <w:szCs w:val="21"/>
        </w:rPr>
        <w:t>,</w:t>
      </w:r>
      <w:r w:rsidRPr="00C85109">
        <w:rPr>
          <w:rFonts w:asciiTheme="minorHAnsi" w:hAnsiTheme="minorHAnsi" w:cstheme="minorHAnsi"/>
          <w:szCs w:val="21"/>
        </w:rPr>
        <w:t xml:space="preserve"> Brady, K.</w:t>
      </w:r>
      <w:r w:rsidR="00313873" w:rsidRPr="00C85109">
        <w:rPr>
          <w:rFonts w:asciiTheme="minorHAnsi" w:hAnsiTheme="minorHAnsi" w:cstheme="minorHAnsi"/>
          <w:szCs w:val="21"/>
        </w:rPr>
        <w:t>,</w:t>
      </w:r>
      <w:r w:rsidRPr="00C85109">
        <w:rPr>
          <w:rFonts w:asciiTheme="minorHAnsi" w:hAnsiTheme="minorHAnsi" w:cstheme="minorHAnsi"/>
          <w:szCs w:val="21"/>
        </w:rPr>
        <w:t xml:space="preserve"> Cooper, M.</w:t>
      </w:r>
      <w:r w:rsidR="00313873" w:rsidRPr="00C85109">
        <w:rPr>
          <w:rFonts w:asciiTheme="minorHAnsi" w:hAnsiTheme="minorHAnsi" w:cstheme="minorHAnsi"/>
          <w:szCs w:val="21"/>
        </w:rPr>
        <w:t>,</w:t>
      </w:r>
      <w:r w:rsidRPr="00C85109">
        <w:rPr>
          <w:rFonts w:asciiTheme="minorHAnsi" w:hAnsiTheme="minorHAnsi" w:cstheme="minorHAnsi"/>
          <w:szCs w:val="21"/>
        </w:rPr>
        <w:t xml:space="preserve"> </w:t>
      </w:r>
      <w:r w:rsidR="00313873" w:rsidRPr="00C85109">
        <w:rPr>
          <w:rFonts w:asciiTheme="minorHAnsi" w:hAnsiTheme="minorHAnsi" w:cstheme="minorHAnsi"/>
          <w:szCs w:val="21"/>
        </w:rPr>
        <w:t>&amp;</w:t>
      </w:r>
      <w:r w:rsidRPr="00C85109">
        <w:rPr>
          <w:rFonts w:asciiTheme="minorHAnsi" w:hAnsiTheme="minorHAnsi" w:cstheme="minorHAnsi"/>
          <w:szCs w:val="21"/>
        </w:rPr>
        <w:t xml:space="preserve"> Revell, G. (2008). A revolution in the employment process of individuals with disabilities: Customized employment as the catalyst for system change</w:t>
      </w:r>
      <w:r w:rsidR="000E3525" w:rsidRPr="00C85109">
        <w:rPr>
          <w:rFonts w:asciiTheme="minorHAnsi" w:hAnsiTheme="minorHAnsi" w:cstheme="minorHAnsi"/>
          <w:szCs w:val="21"/>
        </w:rPr>
        <w:t>.</w:t>
      </w:r>
      <w:r w:rsidRPr="00C85109">
        <w:rPr>
          <w:rFonts w:asciiTheme="minorHAnsi" w:hAnsiTheme="minorHAnsi" w:cstheme="minorHAnsi"/>
          <w:szCs w:val="21"/>
        </w:rPr>
        <w:t xml:space="preserve"> </w:t>
      </w:r>
      <w:r w:rsidRPr="00C85109">
        <w:rPr>
          <w:rFonts w:asciiTheme="minorHAnsi" w:hAnsiTheme="minorHAnsi" w:cstheme="minorHAnsi"/>
          <w:i/>
          <w:iCs/>
          <w:szCs w:val="21"/>
        </w:rPr>
        <w:t>Journal of Vocational Rehabilitation</w:t>
      </w:r>
      <w:r w:rsidR="00E6380C" w:rsidRPr="00C85109">
        <w:rPr>
          <w:rFonts w:asciiTheme="minorHAnsi" w:hAnsiTheme="minorHAnsi" w:cstheme="minorHAnsi"/>
          <w:i/>
          <w:iCs/>
          <w:szCs w:val="21"/>
        </w:rPr>
        <w:t>,</w:t>
      </w:r>
      <w:r w:rsidRPr="00C85109">
        <w:rPr>
          <w:rFonts w:asciiTheme="minorHAnsi" w:hAnsiTheme="minorHAnsi" w:cstheme="minorHAnsi"/>
          <w:i/>
          <w:iCs/>
          <w:szCs w:val="21"/>
        </w:rPr>
        <w:t xml:space="preserve"> 28</w:t>
      </w:r>
      <w:r w:rsidR="00FB1119" w:rsidRPr="00C85109">
        <w:rPr>
          <w:rFonts w:asciiTheme="minorHAnsi" w:hAnsiTheme="minorHAnsi" w:cstheme="minorHAnsi"/>
          <w:szCs w:val="21"/>
        </w:rPr>
        <w:t>(3)</w:t>
      </w:r>
      <w:r w:rsidRPr="00C85109">
        <w:rPr>
          <w:rFonts w:asciiTheme="minorHAnsi" w:hAnsiTheme="minorHAnsi" w:cstheme="minorHAnsi"/>
          <w:szCs w:val="21"/>
        </w:rPr>
        <w:t>, 169</w:t>
      </w:r>
      <w:r w:rsidR="00E6380C" w:rsidRPr="00C85109">
        <w:rPr>
          <w:rFonts w:asciiTheme="minorHAnsi" w:hAnsiTheme="minorHAnsi" w:cstheme="minorHAnsi"/>
          <w:szCs w:val="21"/>
        </w:rPr>
        <w:t>-</w:t>
      </w:r>
      <w:r w:rsidRPr="00C85109">
        <w:rPr>
          <w:rFonts w:asciiTheme="minorHAnsi" w:hAnsiTheme="minorHAnsi" w:cstheme="minorHAnsi"/>
          <w:szCs w:val="21"/>
        </w:rPr>
        <w:t xml:space="preserve">179. </w:t>
      </w:r>
    </w:p>
    <w:p w14:paraId="7D00F19C" w14:textId="37FC42B8" w:rsidR="00E35816" w:rsidRPr="00C85109" w:rsidRDefault="00E35816" w:rsidP="00CE427B">
      <w:pPr>
        <w:spacing w:before="0" w:after="120" w:line="276" w:lineRule="auto"/>
        <w:ind w:left="851" w:hanging="491"/>
        <w:rPr>
          <w:rFonts w:asciiTheme="minorHAnsi" w:hAnsiTheme="minorHAnsi" w:cstheme="minorHAnsi"/>
          <w:szCs w:val="21"/>
          <w:highlight w:val="yellow"/>
        </w:rPr>
      </w:pPr>
      <w:r w:rsidRPr="00C85109">
        <w:rPr>
          <w:rFonts w:asciiTheme="minorHAnsi" w:hAnsiTheme="minorHAnsi" w:cstheme="minorHAnsi"/>
          <w:szCs w:val="21"/>
        </w:rPr>
        <w:t>Cocks, E.</w:t>
      </w:r>
      <w:r w:rsidR="00ED57F0" w:rsidRPr="00C85109">
        <w:rPr>
          <w:rFonts w:asciiTheme="minorHAnsi" w:hAnsiTheme="minorHAnsi" w:cstheme="minorHAnsi"/>
          <w:szCs w:val="21"/>
        </w:rPr>
        <w:t>,</w:t>
      </w:r>
      <w:r w:rsidRPr="00C85109">
        <w:rPr>
          <w:rFonts w:asciiTheme="minorHAnsi" w:hAnsiTheme="minorHAnsi" w:cstheme="minorHAnsi"/>
          <w:szCs w:val="21"/>
        </w:rPr>
        <w:t xml:space="preserve"> </w:t>
      </w:r>
      <w:r w:rsidR="00ED57F0" w:rsidRPr="00C85109">
        <w:rPr>
          <w:rFonts w:asciiTheme="minorHAnsi" w:hAnsiTheme="minorHAnsi" w:cstheme="minorHAnsi"/>
          <w:szCs w:val="21"/>
        </w:rPr>
        <w:t>&amp;</w:t>
      </w:r>
      <w:r w:rsidRPr="00C85109">
        <w:rPr>
          <w:rFonts w:asciiTheme="minorHAnsi" w:hAnsiTheme="minorHAnsi" w:cstheme="minorHAnsi"/>
          <w:szCs w:val="21"/>
        </w:rPr>
        <w:t xml:space="preserve"> Harvey, T.</w:t>
      </w:r>
      <w:r w:rsidR="00ED57F0" w:rsidRPr="00C85109">
        <w:rPr>
          <w:rFonts w:asciiTheme="minorHAnsi" w:hAnsiTheme="minorHAnsi" w:cstheme="minorHAnsi"/>
          <w:szCs w:val="21"/>
        </w:rPr>
        <w:t xml:space="preserve"> </w:t>
      </w:r>
      <w:r w:rsidRPr="00C85109">
        <w:rPr>
          <w:rFonts w:asciiTheme="minorHAnsi" w:hAnsiTheme="minorHAnsi" w:cstheme="minorHAnsi"/>
          <w:szCs w:val="21"/>
        </w:rPr>
        <w:t>(200</w:t>
      </w:r>
      <w:r w:rsidR="00B70966" w:rsidRPr="00C85109">
        <w:rPr>
          <w:rFonts w:asciiTheme="minorHAnsi" w:hAnsiTheme="minorHAnsi" w:cstheme="minorHAnsi"/>
          <w:szCs w:val="21"/>
        </w:rPr>
        <w:t>8</w:t>
      </w:r>
      <w:r w:rsidRPr="00C85109">
        <w:rPr>
          <w:rFonts w:asciiTheme="minorHAnsi" w:hAnsiTheme="minorHAnsi" w:cstheme="minorHAnsi"/>
          <w:szCs w:val="21"/>
        </w:rPr>
        <w:t xml:space="preserve">). </w:t>
      </w:r>
      <w:r w:rsidRPr="00C85109">
        <w:rPr>
          <w:rFonts w:asciiTheme="minorHAnsi" w:hAnsiTheme="minorHAnsi" w:cstheme="minorHAnsi"/>
          <w:i/>
          <w:iCs/>
          <w:szCs w:val="21"/>
        </w:rPr>
        <w:t>Employment</w:t>
      </w:r>
      <w:r w:rsidR="006C3146" w:rsidRPr="00C85109">
        <w:rPr>
          <w:rFonts w:asciiTheme="minorHAnsi" w:hAnsiTheme="minorHAnsi" w:cstheme="minorHAnsi"/>
          <w:i/>
          <w:iCs/>
          <w:szCs w:val="21"/>
        </w:rPr>
        <w:t>/day options interface research project</w:t>
      </w:r>
      <w:r w:rsidRPr="00C85109">
        <w:rPr>
          <w:rFonts w:asciiTheme="minorHAnsi" w:hAnsiTheme="minorHAnsi" w:cstheme="minorHAnsi"/>
          <w:i/>
          <w:iCs/>
          <w:szCs w:val="21"/>
        </w:rPr>
        <w:t xml:space="preserve">. Final </w:t>
      </w:r>
      <w:r w:rsidR="006C3146" w:rsidRPr="00C85109">
        <w:rPr>
          <w:rFonts w:asciiTheme="minorHAnsi" w:hAnsiTheme="minorHAnsi" w:cstheme="minorHAnsi"/>
          <w:i/>
          <w:iCs/>
          <w:szCs w:val="21"/>
        </w:rPr>
        <w:t>r</w:t>
      </w:r>
      <w:r w:rsidRPr="00C85109">
        <w:rPr>
          <w:rFonts w:asciiTheme="minorHAnsi" w:hAnsiTheme="minorHAnsi" w:cstheme="minorHAnsi"/>
          <w:i/>
          <w:iCs/>
          <w:szCs w:val="21"/>
        </w:rPr>
        <w:t>eport</w:t>
      </w:r>
      <w:r w:rsidR="0093796A" w:rsidRPr="00C85109">
        <w:rPr>
          <w:rFonts w:asciiTheme="minorHAnsi" w:hAnsiTheme="minorHAnsi" w:cstheme="minorHAnsi"/>
          <w:szCs w:val="21"/>
        </w:rPr>
        <w:t>.</w:t>
      </w:r>
      <w:r w:rsidRPr="00C85109">
        <w:rPr>
          <w:rFonts w:asciiTheme="minorHAnsi" w:hAnsiTheme="minorHAnsi" w:cstheme="minorHAnsi"/>
          <w:szCs w:val="21"/>
        </w:rPr>
        <w:t xml:space="preserve"> </w:t>
      </w:r>
      <w:r w:rsidR="00C63C28" w:rsidRPr="00C85109">
        <w:rPr>
          <w:rFonts w:asciiTheme="minorHAnsi" w:hAnsiTheme="minorHAnsi" w:cstheme="minorHAnsi"/>
          <w:szCs w:val="21"/>
        </w:rPr>
        <w:t xml:space="preserve">School of Occupational Therapy and Social Work, </w:t>
      </w:r>
      <w:r w:rsidRPr="00C85109">
        <w:rPr>
          <w:rFonts w:asciiTheme="minorHAnsi" w:hAnsiTheme="minorHAnsi" w:cstheme="minorHAnsi"/>
          <w:szCs w:val="21"/>
        </w:rPr>
        <w:t>Curtin University of Technology</w:t>
      </w:r>
      <w:r w:rsidR="009800A5" w:rsidRPr="00C85109">
        <w:rPr>
          <w:rFonts w:asciiTheme="minorHAnsi" w:hAnsiTheme="minorHAnsi" w:cstheme="minorHAnsi"/>
          <w:szCs w:val="21"/>
        </w:rPr>
        <w:t xml:space="preserve">. </w:t>
      </w:r>
      <w:r w:rsidR="008607B9" w:rsidRPr="00C85109">
        <w:rPr>
          <w:rFonts w:asciiTheme="minorHAnsi" w:hAnsiTheme="minorHAnsi" w:cstheme="minorHAnsi"/>
          <w:szCs w:val="21"/>
        </w:rPr>
        <w:t>https://espace.curtin.edu.au/bitstream/handle/20.500.11937/43977/135257_18935_Employment%20Day%20Options%20Final%20Report.pdf</w:t>
      </w:r>
    </w:p>
    <w:p w14:paraId="2841E316" w14:textId="2DC3027E" w:rsidR="00E35816" w:rsidRPr="00C85109" w:rsidRDefault="00E35816" w:rsidP="00CE427B">
      <w:pPr>
        <w:pStyle w:val="EndNoteBibliography"/>
        <w:spacing w:after="120" w:line="276" w:lineRule="auto"/>
        <w:ind w:left="851" w:hanging="491"/>
        <w:rPr>
          <w:rFonts w:asciiTheme="minorHAnsi" w:hAnsiTheme="minorHAnsi" w:cstheme="minorHAnsi"/>
          <w:iCs/>
          <w:sz w:val="21"/>
          <w:szCs w:val="21"/>
        </w:rPr>
      </w:pPr>
      <w:bookmarkStart w:id="179" w:name="_Hlk42423101"/>
      <w:bookmarkStart w:id="180" w:name="_Hlk41237964"/>
      <w:r w:rsidRPr="00C85109">
        <w:rPr>
          <w:rFonts w:asciiTheme="minorHAnsi" w:hAnsiTheme="minorHAnsi" w:cstheme="minorHAnsi"/>
          <w:sz w:val="21"/>
          <w:szCs w:val="21"/>
        </w:rPr>
        <w:t>Cocks, E.</w:t>
      </w:r>
      <w:r w:rsidR="00ED57F0" w:rsidRPr="00C85109">
        <w:rPr>
          <w:rFonts w:asciiTheme="minorHAnsi" w:hAnsiTheme="minorHAnsi" w:cstheme="minorHAnsi"/>
          <w:sz w:val="21"/>
          <w:szCs w:val="21"/>
        </w:rPr>
        <w:t>,</w:t>
      </w:r>
      <w:r w:rsidRPr="00C85109">
        <w:rPr>
          <w:rFonts w:asciiTheme="minorHAnsi" w:hAnsiTheme="minorHAnsi" w:cstheme="minorHAnsi"/>
          <w:sz w:val="21"/>
          <w:szCs w:val="21"/>
        </w:rPr>
        <w:t xml:space="preserve"> &amp; Thoresen, S.</w:t>
      </w:r>
      <w:r w:rsidR="00ED57F0" w:rsidRPr="00C85109">
        <w:rPr>
          <w:rFonts w:asciiTheme="minorHAnsi" w:hAnsiTheme="minorHAnsi" w:cstheme="minorHAnsi"/>
          <w:sz w:val="21"/>
          <w:szCs w:val="21"/>
        </w:rPr>
        <w:t xml:space="preserve"> </w:t>
      </w:r>
      <w:r w:rsidRPr="00C85109">
        <w:rPr>
          <w:rFonts w:asciiTheme="minorHAnsi" w:hAnsiTheme="minorHAnsi" w:cstheme="minorHAnsi"/>
          <w:sz w:val="21"/>
          <w:szCs w:val="21"/>
        </w:rPr>
        <w:t>H. (2013)</w:t>
      </w:r>
      <w:r w:rsidR="00ED57F0" w:rsidRPr="00C85109">
        <w:rPr>
          <w:rFonts w:asciiTheme="minorHAnsi" w:hAnsiTheme="minorHAnsi" w:cstheme="minorHAnsi"/>
          <w:sz w:val="21"/>
          <w:szCs w:val="21"/>
        </w:rPr>
        <w:t>.</w:t>
      </w:r>
      <w:r w:rsidRPr="00C85109">
        <w:rPr>
          <w:rFonts w:asciiTheme="minorHAnsi" w:hAnsiTheme="minorHAnsi" w:cstheme="minorHAnsi"/>
          <w:sz w:val="21"/>
          <w:szCs w:val="21"/>
        </w:rPr>
        <w:t xml:space="preserve"> </w:t>
      </w:r>
      <w:r w:rsidRPr="00C85109">
        <w:rPr>
          <w:rFonts w:asciiTheme="minorHAnsi" w:hAnsiTheme="minorHAnsi" w:cstheme="minorHAnsi"/>
          <w:i/>
          <w:sz w:val="21"/>
          <w:szCs w:val="21"/>
        </w:rPr>
        <w:t>Barriers and facilitators affecting course completions by apprentices and trainees with disabilities</w:t>
      </w:r>
      <w:r w:rsidR="00D81022" w:rsidRPr="00C85109">
        <w:rPr>
          <w:rFonts w:asciiTheme="minorHAnsi" w:hAnsiTheme="minorHAnsi" w:cstheme="minorHAnsi"/>
          <w:i/>
          <w:sz w:val="21"/>
          <w:szCs w:val="21"/>
        </w:rPr>
        <w:t>.</w:t>
      </w:r>
      <w:r w:rsidR="005E4289" w:rsidRPr="00C85109">
        <w:rPr>
          <w:rFonts w:asciiTheme="minorHAnsi" w:hAnsiTheme="minorHAnsi" w:cstheme="minorHAnsi"/>
          <w:i/>
          <w:sz w:val="21"/>
          <w:szCs w:val="21"/>
        </w:rPr>
        <w:t xml:space="preserve"> Research report.</w:t>
      </w:r>
      <w:r w:rsidR="00D81022" w:rsidRPr="00C85109">
        <w:rPr>
          <w:rFonts w:asciiTheme="minorHAnsi" w:hAnsiTheme="minorHAnsi" w:cstheme="minorHAnsi"/>
          <w:iCs/>
          <w:sz w:val="21"/>
          <w:szCs w:val="21"/>
        </w:rPr>
        <w:t xml:space="preserve"> National Centre for Vocational Education Research</w:t>
      </w:r>
      <w:r w:rsidR="005E4289" w:rsidRPr="00C85109">
        <w:rPr>
          <w:rFonts w:asciiTheme="minorHAnsi" w:hAnsiTheme="minorHAnsi" w:cstheme="minorHAnsi"/>
          <w:iCs/>
          <w:sz w:val="21"/>
          <w:szCs w:val="21"/>
        </w:rPr>
        <w:t xml:space="preserve">. </w:t>
      </w:r>
      <w:r w:rsidR="00792432" w:rsidRPr="00C85109">
        <w:rPr>
          <w:rFonts w:asciiTheme="minorHAnsi" w:hAnsiTheme="minorHAnsi" w:cstheme="minorHAnsi"/>
          <w:iCs/>
          <w:sz w:val="21"/>
          <w:szCs w:val="21"/>
        </w:rPr>
        <w:t>https://www.ncver.edu.au/__data/assets/file/0017/9332/barriers-and-facilitators-2597.pdf</w:t>
      </w:r>
    </w:p>
    <w:p w14:paraId="02B18EC0" w14:textId="324116CB" w:rsidR="00E35816" w:rsidRPr="00C85109" w:rsidRDefault="00E35816" w:rsidP="00CE427B">
      <w:pPr>
        <w:pStyle w:val="EndNoteBibliography"/>
        <w:spacing w:after="120" w:line="276" w:lineRule="auto"/>
        <w:ind w:left="851" w:hanging="491"/>
        <w:rPr>
          <w:rFonts w:asciiTheme="minorHAnsi" w:hAnsiTheme="minorHAnsi" w:cstheme="minorHAnsi"/>
          <w:sz w:val="21"/>
          <w:szCs w:val="21"/>
        </w:rPr>
      </w:pPr>
      <w:r w:rsidRPr="00C85109">
        <w:rPr>
          <w:rFonts w:asciiTheme="minorHAnsi" w:hAnsiTheme="minorHAnsi" w:cstheme="minorHAnsi"/>
          <w:sz w:val="21"/>
          <w:szCs w:val="21"/>
        </w:rPr>
        <w:t>Cocks, E., Thoresen, S. H.</w:t>
      </w:r>
      <w:r w:rsidR="00ED57F0" w:rsidRPr="00C85109">
        <w:rPr>
          <w:rFonts w:asciiTheme="minorHAnsi" w:hAnsiTheme="minorHAnsi" w:cstheme="minorHAnsi"/>
          <w:sz w:val="21"/>
          <w:szCs w:val="21"/>
        </w:rPr>
        <w:t>,</w:t>
      </w:r>
      <w:r w:rsidRPr="00C85109">
        <w:rPr>
          <w:rFonts w:asciiTheme="minorHAnsi" w:hAnsiTheme="minorHAnsi" w:cstheme="minorHAnsi"/>
          <w:sz w:val="21"/>
          <w:szCs w:val="21"/>
        </w:rPr>
        <w:t xml:space="preserve"> &amp; Lee, E. A. </w:t>
      </w:r>
      <w:r w:rsidR="000475A4" w:rsidRPr="00C85109">
        <w:rPr>
          <w:rFonts w:asciiTheme="minorHAnsi" w:hAnsiTheme="minorHAnsi" w:cstheme="minorHAnsi"/>
          <w:sz w:val="21"/>
          <w:szCs w:val="21"/>
        </w:rPr>
        <w:t xml:space="preserve">L. </w:t>
      </w:r>
      <w:r w:rsidRPr="00C85109">
        <w:rPr>
          <w:rFonts w:asciiTheme="minorHAnsi" w:hAnsiTheme="minorHAnsi" w:cstheme="minorHAnsi"/>
          <w:sz w:val="21"/>
          <w:szCs w:val="21"/>
        </w:rPr>
        <w:t>(2013). Employment and related economic outcomes for Australian apprenticeship and traineeship graduates with disabilities: Baseline findings from a national three-year longitude study</w:t>
      </w:r>
      <w:r w:rsidR="00FF2698" w:rsidRPr="00C85109">
        <w:rPr>
          <w:rFonts w:asciiTheme="minorHAnsi" w:hAnsiTheme="minorHAnsi" w:cstheme="minorHAnsi"/>
          <w:sz w:val="21"/>
          <w:szCs w:val="21"/>
        </w:rPr>
        <w:t>.</w:t>
      </w:r>
      <w:r w:rsidRPr="00C85109">
        <w:rPr>
          <w:rFonts w:asciiTheme="minorHAnsi" w:hAnsiTheme="minorHAnsi" w:cstheme="minorHAnsi"/>
          <w:sz w:val="21"/>
          <w:szCs w:val="21"/>
        </w:rPr>
        <w:t xml:space="preserve"> </w:t>
      </w:r>
      <w:r w:rsidRPr="00C85109">
        <w:rPr>
          <w:rFonts w:asciiTheme="minorHAnsi" w:hAnsiTheme="minorHAnsi" w:cstheme="minorHAnsi"/>
          <w:i/>
          <w:iCs/>
          <w:sz w:val="21"/>
          <w:szCs w:val="21"/>
        </w:rPr>
        <w:t>Journal of Vocational Rehabilitation</w:t>
      </w:r>
      <w:r w:rsidRPr="00C85109">
        <w:rPr>
          <w:rFonts w:asciiTheme="minorHAnsi" w:hAnsiTheme="minorHAnsi" w:cstheme="minorHAnsi"/>
          <w:sz w:val="21"/>
          <w:szCs w:val="21"/>
        </w:rPr>
        <w:t xml:space="preserve">, </w:t>
      </w:r>
      <w:r w:rsidRPr="00C85109">
        <w:rPr>
          <w:rFonts w:asciiTheme="minorHAnsi" w:hAnsiTheme="minorHAnsi" w:cstheme="minorHAnsi"/>
          <w:i/>
          <w:iCs/>
          <w:sz w:val="21"/>
          <w:szCs w:val="21"/>
        </w:rPr>
        <w:t>39</w:t>
      </w:r>
      <w:r w:rsidR="00EE1E86" w:rsidRPr="00C85109">
        <w:rPr>
          <w:rFonts w:asciiTheme="minorHAnsi" w:hAnsiTheme="minorHAnsi" w:cstheme="minorHAnsi"/>
          <w:sz w:val="21"/>
          <w:szCs w:val="21"/>
        </w:rPr>
        <w:t>(3),</w:t>
      </w:r>
      <w:r w:rsidRPr="00C85109">
        <w:rPr>
          <w:rFonts w:asciiTheme="minorHAnsi" w:hAnsiTheme="minorHAnsi" w:cstheme="minorHAnsi"/>
          <w:sz w:val="21"/>
          <w:szCs w:val="21"/>
        </w:rPr>
        <w:t xml:space="preserve"> 205-217.</w:t>
      </w:r>
      <w:r w:rsidR="009C7BAE" w:rsidRPr="00C85109">
        <w:rPr>
          <w:rFonts w:asciiTheme="minorHAnsi" w:hAnsiTheme="minorHAnsi" w:cstheme="minorHAnsi"/>
          <w:sz w:val="21"/>
          <w:szCs w:val="21"/>
        </w:rPr>
        <w:t xml:space="preserve"> https://doi.org/10.3233/JVR-130654</w:t>
      </w:r>
    </w:p>
    <w:bookmarkEnd w:id="179"/>
    <w:bookmarkEnd w:id="180"/>
    <w:p w14:paraId="44472DAB" w14:textId="732206A2" w:rsidR="00E35816" w:rsidRPr="00C85109" w:rsidRDefault="00E35816" w:rsidP="00CE427B">
      <w:pPr>
        <w:pStyle w:val="EndNoteBibliography"/>
        <w:spacing w:after="120" w:line="276" w:lineRule="auto"/>
        <w:ind w:left="851" w:hanging="491"/>
        <w:rPr>
          <w:rFonts w:asciiTheme="minorHAnsi" w:hAnsiTheme="minorHAnsi" w:cstheme="minorHAnsi"/>
          <w:sz w:val="21"/>
          <w:szCs w:val="21"/>
        </w:rPr>
      </w:pPr>
      <w:r w:rsidRPr="00C85109">
        <w:rPr>
          <w:rFonts w:asciiTheme="minorHAnsi" w:hAnsiTheme="minorHAnsi" w:cstheme="minorHAnsi"/>
          <w:sz w:val="21"/>
          <w:szCs w:val="21"/>
        </w:rPr>
        <w:t xml:space="preserve">Condon, E., &amp; Callahan, M. (2008). Individualized </w:t>
      </w:r>
      <w:r w:rsidR="004F4457" w:rsidRPr="00C85109">
        <w:rPr>
          <w:rFonts w:asciiTheme="minorHAnsi" w:hAnsiTheme="minorHAnsi" w:cstheme="minorHAnsi"/>
          <w:sz w:val="21"/>
          <w:szCs w:val="21"/>
        </w:rPr>
        <w:t>career plan</w:t>
      </w:r>
      <w:r w:rsidRPr="00C85109">
        <w:rPr>
          <w:rFonts w:asciiTheme="minorHAnsi" w:hAnsiTheme="minorHAnsi" w:cstheme="minorHAnsi"/>
          <w:sz w:val="21"/>
          <w:szCs w:val="21"/>
        </w:rPr>
        <w:t xml:space="preserve">ning for students with significant support needs </w:t>
      </w:r>
      <w:r w:rsidR="002D3563" w:rsidRPr="00C85109">
        <w:rPr>
          <w:rFonts w:asciiTheme="minorHAnsi" w:hAnsiTheme="minorHAnsi" w:cstheme="minorHAnsi"/>
          <w:sz w:val="21"/>
          <w:szCs w:val="21"/>
        </w:rPr>
        <w:t>utilizing the discovery and vocational profile process, cross-agency collaborative funding and social security work incentives</w:t>
      </w:r>
      <w:r w:rsidRPr="00C85109">
        <w:rPr>
          <w:rFonts w:asciiTheme="minorHAnsi" w:hAnsiTheme="minorHAnsi" w:cstheme="minorHAnsi"/>
          <w:sz w:val="21"/>
          <w:szCs w:val="21"/>
        </w:rPr>
        <w:t xml:space="preserve">. </w:t>
      </w:r>
      <w:r w:rsidRPr="00C85109">
        <w:rPr>
          <w:rFonts w:asciiTheme="minorHAnsi" w:hAnsiTheme="minorHAnsi" w:cstheme="minorHAnsi"/>
          <w:i/>
          <w:sz w:val="21"/>
          <w:szCs w:val="21"/>
        </w:rPr>
        <w:t>Journal of Vocational Rehabilitation, 28</w:t>
      </w:r>
      <w:r w:rsidRPr="00C85109">
        <w:rPr>
          <w:rFonts w:asciiTheme="minorHAnsi" w:hAnsiTheme="minorHAnsi" w:cstheme="minorHAnsi"/>
          <w:sz w:val="21"/>
          <w:szCs w:val="21"/>
        </w:rPr>
        <w:t xml:space="preserve">(2), 85-96. </w:t>
      </w:r>
    </w:p>
    <w:p w14:paraId="79AFE4A4" w14:textId="423DF88D" w:rsidR="00E35816" w:rsidRPr="00C85109" w:rsidRDefault="00E35816" w:rsidP="00CE427B">
      <w:pPr>
        <w:autoSpaceDE w:val="0"/>
        <w:autoSpaceDN w:val="0"/>
        <w:adjustRightInd w:val="0"/>
        <w:spacing w:before="0" w:after="120" w:line="276" w:lineRule="auto"/>
        <w:ind w:left="851" w:hanging="491"/>
        <w:rPr>
          <w:rFonts w:asciiTheme="minorHAnsi" w:hAnsiTheme="minorHAnsi" w:cstheme="minorHAnsi"/>
          <w:szCs w:val="21"/>
        </w:rPr>
      </w:pPr>
      <w:r w:rsidRPr="00C85109">
        <w:rPr>
          <w:rFonts w:asciiTheme="minorHAnsi" w:hAnsiTheme="minorHAnsi" w:cstheme="minorHAnsi"/>
          <w:szCs w:val="21"/>
        </w:rPr>
        <w:t>Conroy, J.</w:t>
      </w:r>
      <w:r w:rsidR="00450161" w:rsidRPr="00C85109">
        <w:rPr>
          <w:rFonts w:asciiTheme="minorHAnsi" w:hAnsiTheme="minorHAnsi" w:cstheme="minorHAnsi"/>
          <w:szCs w:val="21"/>
        </w:rPr>
        <w:t xml:space="preserve"> W.</w:t>
      </w:r>
      <w:r w:rsidR="00C215D9" w:rsidRPr="00C85109">
        <w:rPr>
          <w:rFonts w:asciiTheme="minorHAnsi" w:hAnsiTheme="minorHAnsi" w:cstheme="minorHAnsi"/>
          <w:szCs w:val="21"/>
        </w:rPr>
        <w:t>,</w:t>
      </w:r>
      <w:r w:rsidRPr="00C85109">
        <w:rPr>
          <w:rFonts w:asciiTheme="minorHAnsi" w:hAnsiTheme="minorHAnsi" w:cstheme="minorHAnsi"/>
          <w:szCs w:val="21"/>
        </w:rPr>
        <w:t xml:space="preserve"> Ferris, C.</w:t>
      </w:r>
      <w:r w:rsidR="00450161" w:rsidRPr="00C85109">
        <w:rPr>
          <w:rFonts w:asciiTheme="minorHAnsi" w:hAnsiTheme="minorHAnsi" w:cstheme="minorHAnsi"/>
          <w:szCs w:val="21"/>
        </w:rPr>
        <w:t xml:space="preserve"> S.</w:t>
      </w:r>
      <w:r w:rsidR="00C215D9" w:rsidRPr="00C85109">
        <w:rPr>
          <w:rFonts w:asciiTheme="minorHAnsi" w:hAnsiTheme="minorHAnsi" w:cstheme="minorHAnsi"/>
          <w:szCs w:val="21"/>
        </w:rPr>
        <w:t>,</w:t>
      </w:r>
      <w:r w:rsidRPr="00C85109">
        <w:rPr>
          <w:rFonts w:asciiTheme="minorHAnsi" w:hAnsiTheme="minorHAnsi" w:cstheme="minorHAnsi"/>
          <w:szCs w:val="21"/>
        </w:rPr>
        <w:t xml:space="preserve"> &amp; Irvine, R. (2010). </w:t>
      </w:r>
      <w:r w:rsidR="00C215D9" w:rsidRPr="00C85109">
        <w:rPr>
          <w:rFonts w:asciiTheme="minorHAnsi" w:hAnsiTheme="minorHAnsi" w:cstheme="minorHAnsi"/>
          <w:szCs w:val="21"/>
        </w:rPr>
        <w:t>Microenterprise options for people with intellectual and developmental disabilities: An outcome evaluation.</w:t>
      </w:r>
      <w:r w:rsidRPr="00C85109">
        <w:rPr>
          <w:rFonts w:asciiTheme="minorHAnsi" w:hAnsiTheme="minorHAnsi" w:cstheme="minorHAnsi"/>
          <w:szCs w:val="21"/>
        </w:rPr>
        <w:t xml:space="preserve"> </w:t>
      </w:r>
      <w:r w:rsidRPr="00C85109">
        <w:rPr>
          <w:rFonts w:asciiTheme="minorHAnsi" w:hAnsiTheme="minorHAnsi" w:cstheme="minorHAnsi"/>
          <w:i/>
          <w:iCs/>
          <w:szCs w:val="21"/>
        </w:rPr>
        <w:t>Journal of Policy and Practice in Intellectual Disabilities</w:t>
      </w:r>
      <w:r w:rsidR="005568C2" w:rsidRPr="00C85109">
        <w:rPr>
          <w:rFonts w:asciiTheme="minorHAnsi" w:hAnsiTheme="minorHAnsi" w:cstheme="minorHAnsi"/>
          <w:i/>
          <w:iCs/>
          <w:szCs w:val="21"/>
        </w:rPr>
        <w:t>,</w:t>
      </w:r>
      <w:r w:rsidRPr="00C85109">
        <w:rPr>
          <w:rFonts w:asciiTheme="minorHAnsi" w:hAnsiTheme="minorHAnsi" w:cstheme="minorHAnsi"/>
          <w:i/>
          <w:iCs/>
          <w:szCs w:val="21"/>
        </w:rPr>
        <w:t xml:space="preserve"> 7</w:t>
      </w:r>
      <w:r w:rsidR="005568C2" w:rsidRPr="00C85109">
        <w:rPr>
          <w:rFonts w:asciiTheme="minorHAnsi" w:hAnsiTheme="minorHAnsi" w:cstheme="minorHAnsi"/>
          <w:szCs w:val="21"/>
        </w:rPr>
        <w:t>(4)</w:t>
      </w:r>
      <w:r w:rsidR="00932E02" w:rsidRPr="00C85109">
        <w:rPr>
          <w:rFonts w:asciiTheme="minorHAnsi" w:hAnsiTheme="minorHAnsi" w:cstheme="minorHAnsi"/>
          <w:szCs w:val="21"/>
        </w:rPr>
        <w:t xml:space="preserve">, </w:t>
      </w:r>
      <w:r w:rsidRPr="00C85109">
        <w:rPr>
          <w:rFonts w:asciiTheme="minorHAnsi" w:hAnsiTheme="minorHAnsi" w:cstheme="minorHAnsi"/>
          <w:szCs w:val="21"/>
        </w:rPr>
        <w:t>269</w:t>
      </w:r>
      <w:r w:rsidR="00932E02" w:rsidRPr="00C85109">
        <w:rPr>
          <w:rFonts w:asciiTheme="minorHAnsi" w:hAnsiTheme="minorHAnsi" w:cstheme="minorHAnsi"/>
          <w:szCs w:val="21"/>
        </w:rPr>
        <w:t>-</w:t>
      </w:r>
      <w:r w:rsidRPr="00C85109">
        <w:rPr>
          <w:rFonts w:asciiTheme="minorHAnsi" w:hAnsiTheme="minorHAnsi" w:cstheme="minorHAnsi"/>
          <w:szCs w:val="21"/>
        </w:rPr>
        <w:t>277</w:t>
      </w:r>
      <w:r w:rsidR="00932E02" w:rsidRPr="00C85109">
        <w:rPr>
          <w:rFonts w:asciiTheme="minorHAnsi" w:hAnsiTheme="minorHAnsi" w:cstheme="minorHAnsi"/>
          <w:szCs w:val="21"/>
        </w:rPr>
        <w:t xml:space="preserve">. </w:t>
      </w:r>
      <w:r w:rsidR="009A5DFF" w:rsidRPr="00C85109">
        <w:rPr>
          <w:rFonts w:asciiTheme="minorHAnsi" w:hAnsiTheme="minorHAnsi" w:cstheme="minorHAnsi"/>
          <w:szCs w:val="21"/>
        </w:rPr>
        <w:t>https://doi.org/10.1111/j.1741-1130.2010.00276.x</w:t>
      </w:r>
    </w:p>
    <w:p w14:paraId="6F11745D" w14:textId="5062E54C" w:rsidR="009A3919" w:rsidRPr="00C85109" w:rsidRDefault="009A3919" w:rsidP="00CE427B">
      <w:pPr>
        <w:pStyle w:val="CommentText"/>
        <w:spacing w:before="0" w:after="120" w:line="276" w:lineRule="auto"/>
        <w:ind w:left="851" w:hanging="491"/>
        <w:rPr>
          <w:rFonts w:asciiTheme="minorHAnsi" w:hAnsiTheme="minorHAnsi" w:cstheme="minorHAnsi"/>
          <w:szCs w:val="21"/>
        </w:rPr>
      </w:pPr>
      <w:bookmarkStart w:id="181" w:name="_Hlk41240755"/>
      <w:r w:rsidRPr="00C85109">
        <w:rPr>
          <w:rFonts w:asciiTheme="minorHAnsi" w:hAnsiTheme="minorHAnsi" w:cstheme="minorHAnsi"/>
          <w:szCs w:val="21"/>
        </w:rPr>
        <w:t xml:space="preserve">Crawford, C. (2011). </w:t>
      </w:r>
      <w:r w:rsidR="000E0652" w:rsidRPr="00C85109">
        <w:rPr>
          <w:rFonts w:asciiTheme="minorHAnsi" w:hAnsiTheme="minorHAnsi" w:cstheme="minorHAnsi"/>
          <w:i/>
          <w:iCs/>
          <w:szCs w:val="21"/>
        </w:rPr>
        <w:t>The employment of people with intellectual disabilities in Canada: A statistical profile.</w:t>
      </w:r>
      <w:r w:rsidRPr="00C85109">
        <w:rPr>
          <w:rFonts w:asciiTheme="minorHAnsi" w:hAnsiTheme="minorHAnsi" w:cstheme="minorHAnsi"/>
          <w:szCs w:val="21"/>
        </w:rPr>
        <w:t xml:space="preserve"> </w:t>
      </w:r>
      <w:r w:rsidR="00954A80" w:rsidRPr="00C85109">
        <w:rPr>
          <w:rFonts w:asciiTheme="minorHAnsi" w:hAnsiTheme="minorHAnsi" w:cstheme="minorHAnsi"/>
          <w:szCs w:val="21"/>
        </w:rPr>
        <w:t>Institute for Research and Development on Inclusion and Society (IRIS</w:t>
      </w:r>
      <w:r w:rsidR="007C6647" w:rsidRPr="00C85109">
        <w:rPr>
          <w:rFonts w:asciiTheme="minorHAnsi" w:hAnsiTheme="minorHAnsi" w:cstheme="minorHAnsi"/>
          <w:szCs w:val="21"/>
        </w:rPr>
        <w:t xml:space="preserve">). </w:t>
      </w:r>
      <w:r w:rsidRPr="00C85109">
        <w:rPr>
          <w:rFonts w:asciiTheme="minorHAnsi" w:hAnsiTheme="minorHAnsi" w:cstheme="minorHAnsi"/>
          <w:szCs w:val="21"/>
        </w:rPr>
        <w:t>https://irisinstitute.files.wordpress.com/2012/01/intellectual-disability-and-employment_iris_cr.pdf</w:t>
      </w:r>
    </w:p>
    <w:p w14:paraId="35471D50" w14:textId="254D28F3" w:rsidR="002A5FC7" w:rsidRPr="00C85109" w:rsidRDefault="002A5FC7" w:rsidP="00CE427B">
      <w:pPr>
        <w:pStyle w:val="CommentText"/>
        <w:spacing w:before="0" w:after="120" w:line="276" w:lineRule="auto"/>
        <w:ind w:left="851" w:hanging="491"/>
        <w:rPr>
          <w:rFonts w:asciiTheme="minorHAnsi" w:hAnsiTheme="minorHAnsi" w:cstheme="minorHAnsi"/>
          <w:szCs w:val="21"/>
        </w:rPr>
      </w:pPr>
      <w:r w:rsidRPr="00C85109">
        <w:rPr>
          <w:rFonts w:asciiTheme="minorHAnsi" w:hAnsiTheme="minorHAnsi" w:cstheme="minorHAnsi"/>
          <w:szCs w:val="21"/>
        </w:rPr>
        <w:t>Crosbie, J.</w:t>
      </w:r>
      <w:r w:rsidR="009A3919" w:rsidRPr="00C85109">
        <w:rPr>
          <w:rFonts w:asciiTheme="minorHAnsi" w:hAnsiTheme="minorHAnsi" w:cstheme="minorHAnsi"/>
          <w:szCs w:val="21"/>
        </w:rPr>
        <w:t>,</w:t>
      </w:r>
      <w:r w:rsidRPr="00C85109">
        <w:rPr>
          <w:rFonts w:asciiTheme="minorHAnsi" w:hAnsiTheme="minorHAnsi" w:cstheme="minorHAnsi"/>
          <w:szCs w:val="21"/>
        </w:rPr>
        <w:t xml:space="preserve"> Murfitt, K.</w:t>
      </w:r>
      <w:r w:rsidR="009A3919" w:rsidRPr="00C85109">
        <w:rPr>
          <w:rFonts w:asciiTheme="minorHAnsi" w:hAnsiTheme="minorHAnsi" w:cstheme="minorHAnsi"/>
          <w:szCs w:val="21"/>
        </w:rPr>
        <w:t>,</w:t>
      </w:r>
      <w:r w:rsidRPr="00C85109">
        <w:rPr>
          <w:rFonts w:asciiTheme="minorHAnsi" w:hAnsiTheme="minorHAnsi" w:cstheme="minorHAnsi"/>
          <w:szCs w:val="21"/>
        </w:rPr>
        <w:t xml:space="preserve"> Hayward, S.</w:t>
      </w:r>
      <w:r w:rsidR="009A3919" w:rsidRPr="00C85109">
        <w:rPr>
          <w:rFonts w:asciiTheme="minorHAnsi" w:hAnsiTheme="minorHAnsi" w:cstheme="minorHAnsi"/>
          <w:szCs w:val="21"/>
        </w:rPr>
        <w:t>,</w:t>
      </w:r>
      <w:r w:rsidRPr="00C85109">
        <w:rPr>
          <w:rFonts w:asciiTheme="minorHAnsi" w:hAnsiTheme="minorHAnsi" w:cstheme="minorHAnsi"/>
          <w:szCs w:val="21"/>
        </w:rPr>
        <w:t xml:space="preserve"> &amp; Wilson, E. (2019)</w:t>
      </w:r>
      <w:r w:rsidR="000746C3" w:rsidRPr="00C85109">
        <w:rPr>
          <w:rFonts w:asciiTheme="minorHAnsi" w:hAnsiTheme="minorHAnsi" w:cstheme="minorHAnsi"/>
          <w:szCs w:val="21"/>
        </w:rPr>
        <w:t>.</w:t>
      </w:r>
      <w:r w:rsidRPr="00C85109">
        <w:rPr>
          <w:rFonts w:asciiTheme="minorHAnsi" w:hAnsiTheme="minorHAnsi" w:cstheme="minorHAnsi"/>
          <w:szCs w:val="21"/>
        </w:rPr>
        <w:t xml:space="preserve"> </w:t>
      </w:r>
      <w:r w:rsidRPr="00C85109">
        <w:rPr>
          <w:rFonts w:asciiTheme="minorHAnsi" w:hAnsiTheme="minorHAnsi" w:cstheme="minorHAnsi"/>
          <w:i/>
          <w:iCs/>
          <w:szCs w:val="21"/>
        </w:rPr>
        <w:t>Literature review: Employment and economic participation of people with disability</w:t>
      </w:r>
      <w:r w:rsidR="00C72B93" w:rsidRPr="00C85109">
        <w:rPr>
          <w:rFonts w:asciiTheme="minorHAnsi" w:hAnsiTheme="minorHAnsi" w:cstheme="minorHAnsi"/>
          <w:i/>
          <w:iCs/>
          <w:szCs w:val="21"/>
        </w:rPr>
        <w:t>.</w:t>
      </w:r>
      <w:r w:rsidRPr="00C85109">
        <w:rPr>
          <w:rFonts w:asciiTheme="minorHAnsi" w:hAnsiTheme="minorHAnsi" w:cstheme="minorHAnsi"/>
          <w:szCs w:val="21"/>
        </w:rPr>
        <w:t xml:space="preserve"> </w:t>
      </w:r>
      <w:r w:rsidR="00C72B93" w:rsidRPr="00C85109">
        <w:rPr>
          <w:rFonts w:asciiTheme="minorHAnsi" w:hAnsiTheme="minorHAnsi" w:cstheme="minorHAnsi"/>
          <w:szCs w:val="21"/>
        </w:rPr>
        <w:t xml:space="preserve">NDIS Participant Employment Taskforce. </w:t>
      </w:r>
      <w:r w:rsidRPr="00C85109">
        <w:rPr>
          <w:rFonts w:asciiTheme="minorHAnsi" w:hAnsiTheme="minorHAnsi" w:cstheme="minorHAnsi"/>
          <w:szCs w:val="21"/>
        </w:rPr>
        <w:t>Deakin University.</w:t>
      </w:r>
    </w:p>
    <w:p w14:paraId="068E3A14" w14:textId="549D7A19" w:rsidR="00E35816" w:rsidRPr="00C85109" w:rsidRDefault="00E35816" w:rsidP="00CE427B">
      <w:pPr>
        <w:pStyle w:val="CommentText"/>
        <w:spacing w:before="0" w:after="120" w:line="276" w:lineRule="auto"/>
        <w:ind w:left="851" w:hanging="491"/>
        <w:rPr>
          <w:rFonts w:asciiTheme="minorHAnsi" w:hAnsiTheme="minorHAnsi" w:cstheme="minorHAnsi"/>
          <w:szCs w:val="21"/>
        </w:rPr>
      </w:pPr>
      <w:proofErr w:type="spellStart"/>
      <w:r w:rsidRPr="00C85109">
        <w:rPr>
          <w:rFonts w:asciiTheme="minorHAnsi" w:hAnsiTheme="minorHAnsi" w:cstheme="minorHAnsi"/>
          <w:szCs w:val="21"/>
        </w:rPr>
        <w:t>Dague</w:t>
      </w:r>
      <w:proofErr w:type="spellEnd"/>
      <w:r w:rsidRPr="00C85109">
        <w:rPr>
          <w:rFonts w:asciiTheme="minorHAnsi" w:hAnsiTheme="minorHAnsi" w:cstheme="minorHAnsi"/>
          <w:szCs w:val="21"/>
        </w:rPr>
        <w:t xml:space="preserve">, B. (2012). Sheltered employment, sheltered lives: Family perspectives of conversion to community-based employment. </w:t>
      </w:r>
      <w:r w:rsidRPr="00C85109">
        <w:rPr>
          <w:rFonts w:asciiTheme="minorHAnsi" w:hAnsiTheme="minorHAnsi" w:cstheme="minorHAnsi"/>
          <w:i/>
          <w:iCs/>
          <w:szCs w:val="21"/>
        </w:rPr>
        <w:t>Journal of Vocational Rehabilitation</w:t>
      </w:r>
      <w:r w:rsidRPr="00C85109">
        <w:rPr>
          <w:rFonts w:asciiTheme="minorHAnsi" w:hAnsiTheme="minorHAnsi" w:cstheme="minorHAnsi"/>
          <w:szCs w:val="21"/>
        </w:rPr>
        <w:t xml:space="preserve">, </w:t>
      </w:r>
      <w:r w:rsidRPr="00C85109">
        <w:rPr>
          <w:rFonts w:asciiTheme="minorHAnsi" w:hAnsiTheme="minorHAnsi" w:cstheme="minorHAnsi"/>
          <w:i/>
          <w:iCs/>
          <w:szCs w:val="21"/>
        </w:rPr>
        <w:t>37</w:t>
      </w:r>
      <w:r w:rsidRPr="00C85109">
        <w:rPr>
          <w:rFonts w:asciiTheme="minorHAnsi" w:hAnsiTheme="minorHAnsi" w:cstheme="minorHAnsi"/>
          <w:szCs w:val="21"/>
        </w:rPr>
        <w:t>(1), 1-11.</w:t>
      </w:r>
      <w:r w:rsidR="009E4DD7" w:rsidRPr="00C85109">
        <w:rPr>
          <w:rFonts w:asciiTheme="minorHAnsi" w:hAnsiTheme="minorHAnsi" w:cstheme="minorHAnsi"/>
          <w:szCs w:val="21"/>
        </w:rPr>
        <w:t xml:space="preserve"> https://doi.org/10.3233/JVR-2012-0595</w:t>
      </w:r>
    </w:p>
    <w:p w14:paraId="1956C245" w14:textId="4D733DA5" w:rsidR="00E35816" w:rsidRPr="00C85109" w:rsidRDefault="00E35816" w:rsidP="00CE427B">
      <w:pPr>
        <w:autoSpaceDE w:val="0"/>
        <w:autoSpaceDN w:val="0"/>
        <w:adjustRightInd w:val="0"/>
        <w:spacing w:before="0" w:after="120" w:line="276" w:lineRule="auto"/>
        <w:ind w:left="851" w:hanging="491"/>
        <w:rPr>
          <w:rFonts w:asciiTheme="minorHAnsi" w:hAnsiTheme="minorHAnsi" w:cstheme="minorHAnsi"/>
          <w:szCs w:val="21"/>
        </w:rPr>
      </w:pPr>
      <w:bookmarkStart w:id="182" w:name="_Hlk41937013"/>
      <w:bookmarkEnd w:id="181"/>
      <w:r w:rsidRPr="00C85109">
        <w:rPr>
          <w:rFonts w:asciiTheme="minorHAnsi" w:hAnsiTheme="minorHAnsi" w:cstheme="minorHAnsi"/>
          <w:szCs w:val="21"/>
        </w:rPr>
        <w:t>Darcy, S.</w:t>
      </w:r>
      <w:r w:rsidR="000746C3" w:rsidRPr="00C85109">
        <w:rPr>
          <w:rFonts w:asciiTheme="minorHAnsi" w:hAnsiTheme="minorHAnsi" w:cstheme="minorHAnsi"/>
          <w:szCs w:val="21"/>
        </w:rPr>
        <w:t>,</w:t>
      </w:r>
      <w:r w:rsidRPr="00C85109">
        <w:rPr>
          <w:rFonts w:asciiTheme="minorHAnsi" w:hAnsiTheme="minorHAnsi" w:cstheme="minorHAnsi"/>
          <w:szCs w:val="21"/>
        </w:rPr>
        <w:t xml:space="preserve"> Collins, J.</w:t>
      </w:r>
      <w:r w:rsidR="000746C3" w:rsidRPr="00C85109">
        <w:rPr>
          <w:rFonts w:asciiTheme="minorHAnsi" w:hAnsiTheme="minorHAnsi" w:cstheme="minorHAnsi"/>
          <w:szCs w:val="21"/>
        </w:rPr>
        <w:t>,</w:t>
      </w:r>
      <w:r w:rsidRPr="00C85109">
        <w:rPr>
          <w:rFonts w:asciiTheme="minorHAnsi" w:hAnsiTheme="minorHAnsi" w:cstheme="minorHAnsi"/>
          <w:szCs w:val="21"/>
        </w:rPr>
        <w:t xml:space="preserve"> &amp; Stronach, M. (2020). </w:t>
      </w:r>
      <w:r w:rsidRPr="00C85109">
        <w:rPr>
          <w:rFonts w:asciiTheme="minorHAnsi" w:hAnsiTheme="minorHAnsi" w:cstheme="minorHAnsi"/>
          <w:i/>
          <w:iCs/>
          <w:szCs w:val="21"/>
        </w:rPr>
        <w:t xml:space="preserve">Australia’s </w:t>
      </w:r>
      <w:r w:rsidR="000D7E98" w:rsidRPr="00C85109">
        <w:rPr>
          <w:rFonts w:asciiTheme="minorHAnsi" w:hAnsiTheme="minorHAnsi" w:cstheme="minorHAnsi"/>
          <w:i/>
          <w:iCs/>
          <w:szCs w:val="21"/>
        </w:rPr>
        <w:t>disability entrepreneurial ecosystem: Experiences of people with disability with microenterprises, self-employment and entrepreneurshi</w:t>
      </w:r>
      <w:r w:rsidRPr="00C85109">
        <w:rPr>
          <w:rFonts w:asciiTheme="minorHAnsi" w:hAnsiTheme="minorHAnsi" w:cstheme="minorHAnsi"/>
          <w:i/>
          <w:iCs/>
          <w:szCs w:val="21"/>
        </w:rPr>
        <w:t>p</w:t>
      </w:r>
      <w:r w:rsidR="000D7E98" w:rsidRPr="00C85109">
        <w:rPr>
          <w:rFonts w:asciiTheme="minorHAnsi" w:hAnsiTheme="minorHAnsi" w:cstheme="minorHAnsi"/>
          <w:i/>
          <w:iCs/>
          <w:szCs w:val="21"/>
        </w:rPr>
        <w:t>.</w:t>
      </w:r>
      <w:r w:rsidRPr="00C85109">
        <w:rPr>
          <w:rFonts w:asciiTheme="minorHAnsi" w:hAnsiTheme="minorHAnsi" w:cstheme="minorHAnsi"/>
          <w:szCs w:val="21"/>
        </w:rPr>
        <w:t xml:space="preserve"> </w:t>
      </w:r>
      <w:r w:rsidR="009846CA" w:rsidRPr="00C85109">
        <w:rPr>
          <w:rFonts w:asciiTheme="minorHAnsi" w:hAnsiTheme="minorHAnsi" w:cstheme="minorHAnsi"/>
          <w:szCs w:val="21"/>
        </w:rPr>
        <w:t xml:space="preserve">UTS Business School, </w:t>
      </w:r>
      <w:r w:rsidRPr="00C85109">
        <w:rPr>
          <w:rFonts w:asciiTheme="minorHAnsi" w:hAnsiTheme="minorHAnsi" w:cstheme="minorHAnsi"/>
          <w:szCs w:val="21"/>
        </w:rPr>
        <w:t>University of Technology</w:t>
      </w:r>
      <w:r w:rsidR="009C6883" w:rsidRPr="00C85109">
        <w:rPr>
          <w:rFonts w:asciiTheme="minorHAnsi" w:hAnsiTheme="minorHAnsi" w:cstheme="minorHAnsi"/>
          <w:szCs w:val="21"/>
        </w:rPr>
        <w:t xml:space="preserve"> </w:t>
      </w:r>
      <w:r w:rsidRPr="00C85109">
        <w:rPr>
          <w:rFonts w:asciiTheme="minorHAnsi" w:hAnsiTheme="minorHAnsi" w:cstheme="minorHAnsi"/>
          <w:szCs w:val="21"/>
        </w:rPr>
        <w:t>Sydney.</w:t>
      </w:r>
      <w:r w:rsidR="009C6883" w:rsidRPr="00C85109">
        <w:rPr>
          <w:rFonts w:asciiTheme="minorHAnsi" w:hAnsiTheme="minorHAnsi" w:cstheme="minorHAnsi"/>
          <w:szCs w:val="21"/>
        </w:rPr>
        <w:t xml:space="preserve"> </w:t>
      </w:r>
      <w:r w:rsidR="00234ED1" w:rsidRPr="00C85109">
        <w:rPr>
          <w:rFonts w:asciiTheme="minorHAnsi" w:hAnsiTheme="minorHAnsi" w:cstheme="minorHAnsi"/>
          <w:szCs w:val="21"/>
        </w:rPr>
        <w:t>https://www.uts.edu.au/sites/default/files/article/downloads/Australias%20Disability%20Entrepreneurial%20Ecosystem%20Report%201%20%28Accessible%29.pdf</w:t>
      </w:r>
    </w:p>
    <w:p w14:paraId="3067A2F7" w14:textId="59F72893" w:rsidR="00E35816" w:rsidRPr="00C85109" w:rsidRDefault="00E35816" w:rsidP="00CE427B">
      <w:pPr>
        <w:pStyle w:val="EndNoteBibliography"/>
        <w:spacing w:after="120" w:line="276" w:lineRule="auto"/>
        <w:ind w:left="851" w:hanging="491"/>
        <w:rPr>
          <w:rFonts w:asciiTheme="minorHAnsi" w:hAnsiTheme="minorHAnsi" w:cstheme="minorHAnsi"/>
          <w:sz w:val="21"/>
          <w:szCs w:val="21"/>
        </w:rPr>
      </w:pPr>
      <w:r w:rsidRPr="00C85109">
        <w:rPr>
          <w:rFonts w:asciiTheme="minorHAnsi" w:hAnsiTheme="minorHAnsi" w:cstheme="minorHAnsi"/>
          <w:sz w:val="21"/>
          <w:szCs w:val="21"/>
        </w:rPr>
        <w:t xml:space="preserve">Davies, M. D., &amp; Beamish, W. (2009). Transitions from school for young adults with intellectual disability: Parental perspectives on “life as an adjustment”. </w:t>
      </w:r>
      <w:r w:rsidRPr="00C85109">
        <w:rPr>
          <w:rFonts w:asciiTheme="minorHAnsi" w:hAnsiTheme="minorHAnsi" w:cstheme="minorHAnsi"/>
          <w:i/>
          <w:sz w:val="21"/>
          <w:szCs w:val="21"/>
        </w:rPr>
        <w:t>Journal of Intellectual &amp; Developmental Disability, 34</w:t>
      </w:r>
      <w:r w:rsidRPr="00C85109">
        <w:rPr>
          <w:rFonts w:asciiTheme="minorHAnsi" w:hAnsiTheme="minorHAnsi" w:cstheme="minorHAnsi"/>
          <w:sz w:val="21"/>
          <w:szCs w:val="21"/>
        </w:rPr>
        <w:t xml:space="preserve">(3), 248-257. </w:t>
      </w:r>
      <w:r w:rsidR="0065684E" w:rsidRPr="00C85109">
        <w:rPr>
          <w:rFonts w:asciiTheme="minorHAnsi" w:hAnsiTheme="minorHAnsi" w:cstheme="minorHAnsi"/>
          <w:sz w:val="21"/>
          <w:szCs w:val="21"/>
        </w:rPr>
        <w:t>https://doi.org/10.1080/13668250903103676</w:t>
      </w:r>
    </w:p>
    <w:p w14:paraId="2C619452" w14:textId="7895A4D5" w:rsidR="004D2071" w:rsidRPr="008B39CF" w:rsidRDefault="004D2071" w:rsidP="004D2071">
      <w:pPr>
        <w:pStyle w:val="EndNoteBibliography"/>
        <w:spacing w:after="120" w:line="276" w:lineRule="auto"/>
        <w:ind w:left="851" w:hanging="491"/>
        <w:rPr>
          <w:rFonts w:asciiTheme="minorHAnsi" w:hAnsiTheme="minorHAnsi" w:cstheme="minorHAnsi"/>
          <w:sz w:val="21"/>
          <w:szCs w:val="21"/>
          <w:highlight w:val="yellow"/>
        </w:rPr>
      </w:pPr>
      <w:r>
        <w:rPr>
          <w:rFonts w:asciiTheme="minorHAnsi" w:hAnsiTheme="minorHAnsi" w:cstheme="minorHAnsi"/>
          <w:sz w:val="21"/>
          <w:szCs w:val="21"/>
        </w:rPr>
        <w:t xml:space="preserve">Department of Education and Training. (2015). </w:t>
      </w:r>
      <w:r>
        <w:rPr>
          <w:rFonts w:asciiTheme="minorHAnsi" w:hAnsiTheme="minorHAnsi" w:cstheme="minorHAnsi"/>
          <w:i/>
          <w:sz w:val="21"/>
          <w:szCs w:val="21"/>
        </w:rPr>
        <w:t>Evaluation of Disability Support Program. Final Report</w:t>
      </w:r>
      <w:r>
        <w:rPr>
          <w:rFonts w:asciiTheme="minorHAnsi" w:hAnsiTheme="minorHAnsi" w:cstheme="minorHAnsi"/>
          <w:sz w:val="21"/>
          <w:szCs w:val="21"/>
        </w:rPr>
        <w:t xml:space="preserve">. </w:t>
      </w:r>
      <w:r w:rsidRPr="004D2071">
        <w:t>https://docs.education.gov.au/system/files/doc/other/dsp_evaluation_report_final.docx</w:t>
      </w:r>
    </w:p>
    <w:p w14:paraId="537F4551" w14:textId="59A78DE2" w:rsidR="0065684E" w:rsidRPr="00C85109" w:rsidRDefault="0065684E" w:rsidP="0065684E">
      <w:pPr>
        <w:pStyle w:val="EndNoteBibliography"/>
        <w:spacing w:after="120" w:line="276" w:lineRule="auto"/>
        <w:ind w:left="851" w:hanging="491"/>
        <w:rPr>
          <w:rFonts w:asciiTheme="minorHAnsi" w:hAnsiTheme="minorHAnsi" w:cstheme="minorHAnsi"/>
          <w:sz w:val="21"/>
          <w:szCs w:val="21"/>
          <w:highlight w:val="yellow"/>
        </w:rPr>
      </w:pPr>
      <w:r w:rsidRPr="00C85109">
        <w:rPr>
          <w:rFonts w:asciiTheme="minorHAnsi" w:hAnsiTheme="minorHAnsi" w:cstheme="minorHAnsi"/>
          <w:sz w:val="21"/>
          <w:szCs w:val="21"/>
        </w:rPr>
        <w:lastRenderedPageBreak/>
        <w:t xml:space="preserve">Department of Education, Skills and Employment. (2005). </w:t>
      </w:r>
      <w:r w:rsidRPr="00C85109">
        <w:rPr>
          <w:rFonts w:asciiTheme="minorHAnsi" w:hAnsiTheme="minorHAnsi" w:cstheme="minorHAnsi"/>
          <w:i/>
          <w:iCs/>
          <w:sz w:val="21"/>
          <w:szCs w:val="21"/>
        </w:rPr>
        <w:t>Disability Standards for Education 2005 &amp; guidance notes</w:t>
      </w:r>
      <w:r w:rsidRPr="00C85109">
        <w:rPr>
          <w:rFonts w:asciiTheme="minorHAnsi" w:hAnsiTheme="minorHAnsi" w:cstheme="minorHAnsi"/>
          <w:sz w:val="21"/>
          <w:szCs w:val="21"/>
        </w:rPr>
        <w:t>. https://docs.education.gov.au/system/files/doc/other/disability_standards_for_education_2005_plus_guidance_notes_0.pdf</w:t>
      </w:r>
    </w:p>
    <w:p w14:paraId="71F5DF9E" w14:textId="7F3D0D9F" w:rsidR="0028285F" w:rsidRPr="00C85109" w:rsidRDefault="0028285F" w:rsidP="0028285F">
      <w:pPr>
        <w:pStyle w:val="EndNoteBibliography"/>
        <w:spacing w:after="120" w:line="276" w:lineRule="auto"/>
        <w:ind w:left="851" w:hanging="491"/>
        <w:rPr>
          <w:rFonts w:asciiTheme="minorHAnsi" w:hAnsiTheme="minorHAnsi" w:cstheme="minorHAnsi"/>
          <w:sz w:val="21"/>
          <w:szCs w:val="21"/>
        </w:rPr>
      </w:pPr>
      <w:bookmarkStart w:id="183" w:name="_Hlk41224176"/>
      <w:bookmarkEnd w:id="182"/>
      <w:r w:rsidRPr="00C85109">
        <w:rPr>
          <w:rFonts w:asciiTheme="minorHAnsi" w:hAnsiTheme="minorHAnsi" w:cstheme="minorHAnsi"/>
          <w:sz w:val="21"/>
          <w:szCs w:val="21"/>
        </w:rPr>
        <w:t xml:space="preserve">Department of Social Services. (2015). </w:t>
      </w:r>
      <w:r w:rsidRPr="00C85109">
        <w:rPr>
          <w:rFonts w:asciiTheme="minorHAnsi" w:hAnsiTheme="minorHAnsi" w:cstheme="minorHAnsi"/>
          <w:i/>
          <w:iCs/>
          <w:sz w:val="21"/>
          <w:szCs w:val="21"/>
        </w:rPr>
        <w:t>National disability employment framework - issues paper</w:t>
      </w:r>
      <w:r w:rsidRPr="00C85109">
        <w:rPr>
          <w:rFonts w:asciiTheme="minorHAnsi" w:hAnsiTheme="minorHAnsi" w:cstheme="minorHAnsi"/>
          <w:sz w:val="21"/>
          <w:szCs w:val="21"/>
        </w:rPr>
        <w:t>. https://engage.dss.gov.au/wp-content/uploads/2015/05/issues_paper.pdf</w:t>
      </w:r>
    </w:p>
    <w:p w14:paraId="24924926" w14:textId="042F60C2" w:rsidR="004069B5" w:rsidRPr="00C85109" w:rsidRDefault="004069B5" w:rsidP="004069B5">
      <w:pPr>
        <w:pStyle w:val="EndNoteBibliography"/>
        <w:spacing w:after="120" w:line="276" w:lineRule="auto"/>
        <w:ind w:left="851" w:hanging="491"/>
        <w:rPr>
          <w:rFonts w:asciiTheme="minorHAnsi" w:hAnsiTheme="minorHAnsi" w:cstheme="minorHAnsi"/>
          <w:sz w:val="21"/>
          <w:szCs w:val="21"/>
          <w:highlight w:val="yellow"/>
        </w:rPr>
      </w:pPr>
      <w:r w:rsidRPr="00C85109">
        <w:rPr>
          <w:rFonts w:asciiTheme="minorHAnsi" w:hAnsiTheme="minorHAnsi" w:cstheme="minorHAnsi"/>
          <w:sz w:val="21"/>
          <w:szCs w:val="21"/>
        </w:rPr>
        <w:t xml:space="preserve">Department of Social Services. (2017). </w:t>
      </w:r>
      <w:r w:rsidRPr="00C85109">
        <w:rPr>
          <w:rFonts w:asciiTheme="minorHAnsi" w:hAnsiTheme="minorHAnsi" w:cstheme="minorHAnsi"/>
          <w:i/>
          <w:iCs/>
          <w:sz w:val="21"/>
          <w:szCs w:val="21"/>
        </w:rPr>
        <w:t>Discussion paper: Ensuring a strong future for supported employment.</w:t>
      </w:r>
      <w:r w:rsidRPr="00C85109">
        <w:rPr>
          <w:rFonts w:asciiTheme="minorHAnsi" w:hAnsiTheme="minorHAnsi" w:cstheme="minorHAnsi"/>
          <w:sz w:val="21"/>
          <w:szCs w:val="21"/>
        </w:rPr>
        <w:t xml:space="preserve"> https://engage.dss.gov.au/wp-content/uploads/2017/12/discussion_paper_-_ensuring_a_strong_future_for_supported_employment.pdf</w:t>
      </w:r>
    </w:p>
    <w:bookmarkEnd w:id="183"/>
    <w:p w14:paraId="25579CA4" w14:textId="64C42388" w:rsidR="00E35816" w:rsidRPr="00C85109" w:rsidRDefault="00E35816" w:rsidP="00CE427B">
      <w:pPr>
        <w:shd w:val="clear" w:color="auto" w:fill="FFFFFF"/>
        <w:spacing w:before="0" w:after="120" w:line="276" w:lineRule="auto"/>
        <w:ind w:left="851" w:hanging="491"/>
        <w:rPr>
          <w:rFonts w:asciiTheme="minorHAnsi" w:hAnsiTheme="minorHAnsi" w:cstheme="minorHAnsi"/>
          <w:szCs w:val="21"/>
          <w:lang w:val="en" w:eastAsia="en-AU"/>
        </w:rPr>
      </w:pPr>
      <w:proofErr w:type="spellStart"/>
      <w:r w:rsidRPr="00C85109">
        <w:rPr>
          <w:rFonts w:asciiTheme="minorHAnsi" w:hAnsiTheme="minorHAnsi" w:cstheme="minorHAnsi"/>
          <w:szCs w:val="21"/>
          <w:lang w:val="en" w:eastAsia="en-AU"/>
        </w:rPr>
        <w:t>Dessemontet</w:t>
      </w:r>
      <w:proofErr w:type="spellEnd"/>
      <w:r w:rsidRPr="00C85109">
        <w:rPr>
          <w:rFonts w:asciiTheme="minorHAnsi" w:hAnsiTheme="minorHAnsi" w:cstheme="minorHAnsi"/>
          <w:szCs w:val="21"/>
          <w:lang w:val="en" w:eastAsia="en-AU"/>
        </w:rPr>
        <w:t>, R.</w:t>
      </w:r>
      <w:r w:rsidR="000746C3" w:rsidRPr="00C85109">
        <w:rPr>
          <w:rFonts w:asciiTheme="minorHAnsi" w:hAnsiTheme="minorHAnsi" w:cstheme="minorHAnsi"/>
          <w:szCs w:val="21"/>
          <w:lang w:val="en" w:eastAsia="en-AU"/>
        </w:rPr>
        <w:t xml:space="preserve"> </w:t>
      </w:r>
      <w:r w:rsidRPr="00C85109">
        <w:rPr>
          <w:rFonts w:asciiTheme="minorHAnsi" w:hAnsiTheme="minorHAnsi" w:cstheme="minorHAnsi"/>
          <w:szCs w:val="21"/>
          <w:lang w:val="en" w:eastAsia="en-AU"/>
        </w:rPr>
        <w:t>S., Bless, G.</w:t>
      </w:r>
      <w:r w:rsidR="000746C3" w:rsidRPr="00C85109">
        <w:rPr>
          <w:rFonts w:asciiTheme="minorHAnsi" w:hAnsiTheme="minorHAnsi" w:cstheme="minorHAnsi"/>
          <w:szCs w:val="21"/>
          <w:lang w:val="en" w:eastAsia="en-AU"/>
        </w:rPr>
        <w:t>,</w:t>
      </w:r>
      <w:r w:rsidRPr="00C85109">
        <w:rPr>
          <w:rFonts w:asciiTheme="minorHAnsi" w:hAnsiTheme="minorHAnsi" w:cstheme="minorHAnsi"/>
          <w:szCs w:val="21"/>
          <w:lang w:val="en" w:eastAsia="en-AU"/>
        </w:rPr>
        <w:t xml:space="preserve"> &amp; Morin, D. (2012)</w:t>
      </w:r>
      <w:r w:rsidR="000746C3" w:rsidRPr="00C85109">
        <w:rPr>
          <w:rFonts w:asciiTheme="minorHAnsi" w:hAnsiTheme="minorHAnsi" w:cstheme="minorHAnsi"/>
          <w:szCs w:val="21"/>
          <w:lang w:val="en" w:eastAsia="en-AU"/>
        </w:rPr>
        <w:t>.</w:t>
      </w:r>
      <w:r w:rsidRPr="00C85109">
        <w:rPr>
          <w:rFonts w:asciiTheme="minorHAnsi" w:hAnsiTheme="minorHAnsi" w:cstheme="minorHAnsi"/>
          <w:szCs w:val="21"/>
          <w:lang w:val="en" w:eastAsia="en-AU"/>
        </w:rPr>
        <w:t xml:space="preserve"> Effects of inclusion on the academic achievement and adaptive </w:t>
      </w:r>
      <w:proofErr w:type="spellStart"/>
      <w:r w:rsidRPr="00C85109">
        <w:rPr>
          <w:rFonts w:asciiTheme="minorHAnsi" w:hAnsiTheme="minorHAnsi" w:cstheme="minorHAnsi"/>
          <w:szCs w:val="21"/>
          <w:lang w:val="en" w:eastAsia="en-AU"/>
        </w:rPr>
        <w:t>behaviour</w:t>
      </w:r>
      <w:proofErr w:type="spellEnd"/>
      <w:r w:rsidRPr="00C85109">
        <w:rPr>
          <w:rFonts w:asciiTheme="minorHAnsi" w:hAnsiTheme="minorHAnsi" w:cstheme="minorHAnsi"/>
          <w:szCs w:val="21"/>
          <w:lang w:val="en" w:eastAsia="en-AU"/>
        </w:rPr>
        <w:t xml:space="preserve"> of children with intellectual disabilities</w:t>
      </w:r>
      <w:r w:rsidR="000746C3" w:rsidRPr="00C85109">
        <w:rPr>
          <w:rFonts w:asciiTheme="minorHAnsi" w:hAnsiTheme="minorHAnsi" w:cstheme="minorHAnsi"/>
          <w:szCs w:val="21"/>
          <w:lang w:val="en" w:eastAsia="en-AU"/>
        </w:rPr>
        <w:t>.</w:t>
      </w:r>
      <w:r w:rsidRPr="00C85109">
        <w:rPr>
          <w:rFonts w:asciiTheme="minorHAnsi" w:hAnsiTheme="minorHAnsi" w:cstheme="minorHAnsi"/>
          <w:szCs w:val="21"/>
          <w:lang w:val="en" w:eastAsia="en-AU"/>
        </w:rPr>
        <w:t xml:space="preserve"> </w:t>
      </w:r>
      <w:r w:rsidRPr="00C85109">
        <w:rPr>
          <w:rFonts w:asciiTheme="minorHAnsi" w:hAnsiTheme="minorHAnsi" w:cstheme="minorHAnsi"/>
          <w:i/>
          <w:iCs/>
          <w:szCs w:val="21"/>
          <w:lang w:val="en" w:eastAsia="en-AU"/>
        </w:rPr>
        <w:t>Journal of Intellectual Disability Research</w:t>
      </w:r>
      <w:r w:rsidRPr="00C85109">
        <w:rPr>
          <w:rFonts w:asciiTheme="minorHAnsi" w:hAnsiTheme="minorHAnsi" w:cstheme="minorHAnsi"/>
          <w:szCs w:val="21"/>
          <w:lang w:val="en" w:eastAsia="en-AU"/>
        </w:rPr>
        <w:t xml:space="preserve">, </w:t>
      </w:r>
      <w:r w:rsidR="00002BD4" w:rsidRPr="00C85109">
        <w:rPr>
          <w:rFonts w:asciiTheme="minorHAnsi" w:hAnsiTheme="minorHAnsi" w:cstheme="minorHAnsi"/>
          <w:i/>
          <w:iCs/>
          <w:szCs w:val="21"/>
          <w:lang w:val="en" w:eastAsia="en-AU"/>
        </w:rPr>
        <w:t>56</w:t>
      </w:r>
      <w:r w:rsidR="00002BD4" w:rsidRPr="00C85109">
        <w:rPr>
          <w:rFonts w:asciiTheme="minorHAnsi" w:hAnsiTheme="minorHAnsi" w:cstheme="minorHAnsi"/>
          <w:szCs w:val="21"/>
          <w:lang w:val="en" w:eastAsia="en-AU"/>
        </w:rPr>
        <w:t>(</w:t>
      </w:r>
      <w:r w:rsidRPr="00C85109">
        <w:rPr>
          <w:rFonts w:asciiTheme="minorHAnsi" w:hAnsiTheme="minorHAnsi" w:cstheme="minorHAnsi"/>
          <w:szCs w:val="21"/>
          <w:lang w:val="en" w:eastAsia="en-AU"/>
        </w:rPr>
        <w:t>6</w:t>
      </w:r>
      <w:r w:rsidR="00002BD4" w:rsidRPr="00C85109">
        <w:rPr>
          <w:rFonts w:asciiTheme="minorHAnsi" w:hAnsiTheme="minorHAnsi" w:cstheme="minorHAnsi"/>
          <w:szCs w:val="21"/>
          <w:lang w:val="en" w:eastAsia="en-AU"/>
        </w:rPr>
        <w:t>),</w:t>
      </w:r>
      <w:r w:rsidRPr="00C85109">
        <w:rPr>
          <w:rFonts w:asciiTheme="minorHAnsi" w:hAnsiTheme="minorHAnsi" w:cstheme="minorHAnsi"/>
          <w:szCs w:val="21"/>
          <w:lang w:val="en" w:eastAsia="en-AU"/>
        </w:rPr>
        <w:t xml:space="preserve"> 579</w:t>
      </w:r>
      <w:r w:rsidR="00002BD4" w:rsidRPr="00C85109">
        <w:rPr>
          <w:rFonts w:asciiTheme="minorHAnsi" w:hAnsiTheme="minorHAnsi" w:cstheme="minorHAnsi"/>
          <w:szCs w:val="21"/>
          <w:lang w:val="en" w:eastAsia="en-AU"/>
        </w:rPr>
        <w:t>-</w:t>
      </w:r>
      <w:r w:rsidRPr="00C85109">
        <w:rPr>
          <w:rFonts w:asciiTheme="minorHAnsi" w:hAnsiTheme="minorHAnsi" w:cstheme="minorHAnsi"/>
          <w:szCs w:val="21"/>
          <w:lang w:val="en" w:eastAsia="en-AU"/>
        </w:rPr>
        <w:t>587.</w:t>
      </w:r>
      <w:r w:rsidR="00174DEA" w:rsidRPr="00C85109">
        <w:rPr>
          <w:rFonts w:asciiTheme="minorHAnsi" w:hAnsiTheme="minorHAnsi" w:cstheme="minorHAnsi"/>
          <w:szCs w:val="21"/>
          <w:lang w:val="en" w:eastAsia="en-AU"/>
        </w:rPr>
        <w:t xml:space="preserve"> https://doi.org/10.1111/j.1365-2788.2011.01497.x</w:t>
      </w:r>
    </w:p>
    <w:p w14:paraId="662FD9B3" w14:textId="7A2DA7C5" w:rsidR="00E35816" w:rsidRPr="00C85109" w:rsidRDefault="00E35816" w:rsidP="00CE427B">
      <w:pPr>
        <w:spacing w:before="0" w:after="120" w:line="276" w:lineRule="auto"/>
        <w:ind w:left="851" w:hanging="491"/>
        <w:rPr>
          <w:rFonts w:asciiTheme="minorHAnsi" w:hAnsiTheme="minorHAnsi" w:cstheme="minorHAnsi"/>
          <w:szCs w:val="21"/>
        </w:rPr>
      </w:pPr>
      <w:bookmarkStart w:id="184" w:name="_Hlk41235931"/>
      <w:r w:rsidRPr="00C85109">
        <w:rPr>
          <w:rFonts w:asciiTheme="minorHAnsi" w:hAnsiTheme="minorHAnsi" w:cstheme="minorHAnsi"/>
          <w:szCs w:val="21"/>
        </w:rPr>
        <w:t>Drake, R.</w:t>
      </w:r>
      <w:r w:rsidR="00887BCF" w:rsidRPr="00C85109">
        <w:rPr>
          <w:rFonts w:asciiTheme="minorHAnsi" w:hAnsiTheme="minorHAnsi" w:cstheme="minorHAnsi"/>
          <w:szCs w:val="21"/>
        </w:rPr>
        <w:t xml:space="preserve"> E.</w:t>
      </w:r>
      <w:r w:rsidR="00002BD4" w:rsidRPr="00C85109">
        <w:rPr>
          <w:rFonts w:asciiTheme="minorHAnsi" w:hAnsiTheme="minorHAnsi" w:cstheme="minorHAnsi"/>
          <w:szCs w:val="21"/>
        </w:rPr>
        <w:t>,</w:t>
      </w:r>
      <w:r w:rsidRPr="00C85109">
        <w:rPr>
          <w:rFonts w:asciiTheme="minorHAnsi" w:hAnsiTheme="minorHAnsi" w:cstheme="minorHAnsi"/>
          <w:szCs w:val="21"/>
        </w:rPr>
        <w:t xml:space="preserve"> Becker, D.</w:t>
      </w:r>
      <w:r w:rsidR="00887BCF" w:rsidRPr="00C85109">
        <w:rPr>
          <w:rFonts w:asciiTheme="minorHAnsi" w:hAnsiTheme="minorHAnsi" w:cstheme="minorHAnsi"/>
          <w:szCs w:val="21"/>
        </w:rPr>
        <w:t xml:space="preserve"> R.</w:t>
      </w:r>
      <w:r w:rsidR="00002BD4" w:rsidRPr="00C85109">
        <w:rPr>
          <w:rFonts w:asciiTheme="minorHAnsi" w:hAnsiTheme="minorHAnsi" w:cstheme="minorHAnsi"/>
          <w:szCs w:val="21"/>
        </w:rPr>
        <w:t xml:space="preserve">, </w:t>
      </w:r>
      <w:r w:rsidRPr="00C85109">
        <w:rPr>
          <w:rFonts w:asciiTheme="minorHAnsi" w:hAnsiTheme="minorHAnsi" w:cstheme="minorHAnsi"/>
          <w:szCs w:val="21"/>
        </w:rPr>
        <w:t xml:space="preserve">&amp; Bond, G. </w:t>
      </w:r>
      <w:r w:rsidR="00D72849" w:rsidRPr="00C85109">
        <w:rPr>
          <w:rFonts w:asciiTheme="minorHAnsi" w:hAnsiTheme="minorHAnsi" w:cstheme="minorHAnsi"/>
          <w:szCs w:val="21"/>
        </w:rPr>
        <w:t xml:space="preserve">R. </w:t>
      </w:r>
      <w:r w:rsidRPr="00C85109">
        <w:rPr>
          <w:rFonts w:asciiTheme="minorHAnsi" w:hAnsiTheme="minorHAnsi" w:cstheme="minorHAnsi"/>
          <w:szCs w:val="21"/>
        </w:rPr>
        <w:t>(2019)</w:t>
      </w:r>
      <w:r w:rsidR="00002BD4" w:rsidRPr="00C85109">
        <w:rPr>
          <w:rFonts w:asciiTheme="minorHAnsi" w:hAnsiTheme="minorHAnsi" w:cstheme="minorHAnsi"/>
          <w:szCs w:val="21"/>
        </w:rPr>
        <w:t>.</w:t>
      </w:r>
      <w:r w:rsidRPr="00C85109">
        <w:rPr>
          <w:rFonts w:asciiTheme="minorHAnsi" w:hAnsiTheme="minorHAnsi" w:cstheme="minorHAnsi"/>
          <w:szCs w:val="21"/>
        </w:rPr>
        <w:t xml:space="preserve"> Introducing</w:t>
      </w:r>
      <w:r w:rsidR="00002BD4" w:rsidRPr="00C85109">
        <w:rPr>
          <w:rFonts w:asciiTheme="minorHAnsi" w:hAnsiTheme="minorHAnsi" w:cstheme="minorHAnsi"/>
          <w:szCs w:val="21"/>
        </w:rPr>
        <w:t xml:space="preserve"> individual placement and support </w:t>
      </w:r>
      <w:r w:rsidRPr="00C85109">
        <w:rPr>
          <w:rFonts w:asciiTheme="minorHAnsi" w:hAnsiTheme="minorHAnsi" w:cstheme="minorHAnsi"/>
          <w:szCs w:val="21"/>
        </w:rPr>
        <w:t>(IPS) supported employment in Japan</w:t>
      </w:r>
      <w:r w:rsidR="00002BD4" w:rsidRPr="00C85109">
        <w:rPr>
          <w:rFonts w:asciiTheme="minorHAnsi" w:hAnsiTheme="minorHAnsi" w:cstheme="minorHAnsi"/>
          <w:szCs w:val="21"/>
        </w:rPr>
        <w:t>.</w:t>
      </w:r>
      <w:r w:rsidRPr="00C85109">
        <w:rPr>
          <w:rFonts w:asciiTheme="minorHAnsi" w:hAnsiTheme="minorHAnsi" w:cstheme="minorHAnsi"/>
          <w:szCs w:val="21"/>
        </w:rPr>
        <w:t xml:space="preserve"> </w:t>
      </w:r>
      <w:r w:rsidRPr="00C85109">
        <w:rPr>
          <w:rFonts w:asciiTheme="minorHAnsi" w:hAnsiTheme="minorHAnsi" w:cstheme="minorHAnsi"/>
          <w:i/>
          <w:iCs/>
          <w:szCs w:val="21"/>
        </w:rPr>
        <w:t>Psychiatry and Clinical Neurosciences</w:t>
      </w:r>
      <w:r w:rsidR="00002BD4" w:rsidRPr="00C85109">
        <w:rPr>
          <w:rFonts w:asciiTheme="minorHAnsi" w:hAnsiTheme="minorHAnsi" w:cstheme="minorHAnsi"/>
          <w:i/>
          <w:iCs/>
          <w:szCs w:val="21"/>
        </w:rPr>
        <w:t>,</w:t>
      </w:r>
      <w:r w:rsidRPr="00C85109">
        <w:rPr>
          <w:rFonts w:asciiTheme="minorHAnsi" w:hAnsiTheme="minorHAnsi" w:cstheme="minorHAnsi"/>
          <w:i/>
          <w:iCs/>
          <w:szCs w:val="21"/>
        </w:rPr>
        <w:t xml:space="preserve"> 73</w:t>
      </w:r>
      <w:r w:rsidR="00A3580A" w:rsidRPr="00C85109">
        <w:rPr>
          <w:rFonts w:asciiTheme="minorHAnsi" w:hAnsiTheme="minorHAnsi" w:cstheme="minorHAnsi"/>
          <w:szCs w:val="21"/>
        </w:rPr>
        <w:t>(2)</w:t>
      </w:r>
      <w:r w:rsidR="00002BD4" w:rsidRPr="00C85109">
        <w:rPr>
          <w:rFonts w:asciiTheme="minorHAnsi" w:hAnsiTheme="minorHAnsi" w:cstheme="minorHAnsi"/>
          <w:i/>
          <w:iCs/>
          <w:szCs w:val="21"/>
        </w:rPr>
        <w:t>,</w:t>
      </w:r>
      <w:r w:rsidRPr="00C85109">
        <w:rPr>
          <w:rFonts w:asciiTheme="minorHAnsi" w:hAnsiTheme="minorHAnsi" w:cstheme="minorHAnsi"/>
          <w:szCs w:val="21"/>
        </w:rPr>
        <w:t xml:space="preserve"> 47</w:t>
      </w:r>
      <w:r w:rsidR="00002BD4" w:rsidRPr="00C85109">
        <w:rPr>
          <w:rFonts w:asciiTheme="minorHAnsi" w:hAnsiTheme="minorHAnsi" w:cstheme="minorHAnsi"/>
          <w:szCs w:val="21"/>
        </w:rPr>
        <w:t>-</w:t>
      </w:r>
      <w:r w:rsidRPr="00C85109">
        <w:rPr>
          <w:rFonts w:asciiTheme="minorHAnsi" w:hAnsiTheme="minorHAnsi" w:cstheme="minorHAnsi"/>
          <w:szCs w:val="21"/>
        </w:rPr>
        <w:t>49</w:t>
      </w:r>
      <w:r w:rsidR="00002BD4" w:rsidRPr="00C85109">
        <w:rPr>
          <w:rFonts w:asciiTheme="minorHAnsi" w:hAnsiTheme="minorHAnsi" w:cstheme="minorHAnsi"/>
          <w:szCs w:val="21"/>
        </w:rPr>
        <w:t>.</w:t>
      </w:r>
      <w:r w:rsidR="00E01F4F" w:rsidRPr="00C85109">
        <w:rPr>
          <w:rFonts w:asciiTheme="minorHAnsi" w:hAnsiTheme="minorHAnsi" w:cstheme="minorHAnsi"/>
          <w:szCs w:val="21"/>
        </w:rPr>
        <w:t xml:space="preserve"> https://doi.org/10.1111/pcn.12792</w:t>
      </w:r>
    </w:p>
    <w:p w14:paraId="54BFA887" w14:textId="618C2A79" w:rsidR="00E35816" w:rsidRPr="00C85109" w:rsidRDefault="00125D38" w:rsidP="00CE427B">
      <w:pPr>
        <w:spacing w:before="0" w:after="120" w:line="276" w:lineRule="auto"/>
        <w:ind w:left="851" w:hanging="491"/>
        <w:rPr>
          <w:rFonts w:asciiTheme="minorHAnsi" w:hAnsiTheme="minorHAnsi" w:cstheme="minorHAnsi"/>
          <w:szCs w:val="21"/>
        </w:rPr>
      </w:pPr>
      <w:hyperlink r:id="rId35" w:history="1">
        <w:r w:rsidR="00E35816" w:rsidRPr="00C85109">
          <w:rPr>
            <w:rStyle w:val="Hyperlink"/>
            <w:rFonts w:asciiTheme="minorHAnsi" w:hAnsiTheme="minorHAnsi" w:cstheme="minorHAnsi"/>
            <w:color w:val="auto"/>
            <w:szCs w:val="21"/>
            <w:u w:val="none"/>
          </w:rPr>
          <w:t>Emerson, E</w:t>
        </w:r>
      </w:hyperlink>
      <w:r w:rsidR="00D46D30" w:rsidRPr="00C85109">
        <w:rPr>
          <w:rStyle w:val="Hyperlink"/>
          <w:rFonts w:asciiTheme="minorHAnsi" w:hAnsiTheme="minorHAnsi" w:cstheme="minorHAnsi"/>
          <w:color w:val="auto"/>
          <w:szCs w:val="21"/>
          <w:u w:val="none"/>
        </w:rPr>
        <w:t>.</w:t>
      </w:r>
      <w:hyperlink r:id="rId36" w:history="1">
        <w:r w:rsidR="00E35816" w:rsidRPr="00C85109">
          <w:rPr>
            <w:rStyle w:val="Hyperlink"/>
            <w:rFonts w:asciiTheme="minorHAnsi" w:hAnsiTheme="minorHAnsi" w:cstheme="minorHAnsi"/>
            <w:color w:val="auto"/>
            <w:szCs w:val="21"/>
            <w:u w:val="none"/>
          </w:rPr>
          <w:t>, Hatton, C</w:t>
        </w:r>
      </w:hyperlink>
      <w:r w:rsidR="00002BD4" w:rsidRPr="00C85109">
        <w:rPr>
          <w:rStyle w:val="Hyperlink"/>
          <w:rFonts w:asciiTheme="minorHAnsi" w:hAnsiTheme="minorHAnsi" w:cstheme="minorHAnsi"/>
          <w:color w:val="auto"/>
          <w:szCs w:val="21"/>
          <w:u w:val="none"/>
        </w:rPr>
        <w:t>.</w:t>
      </w:r>
      <w:hyperlink r:id="rId37" w:history="1">
        <w:r w:rsidR="00E35816" w:rsidRPr="00C85109">
          <w:rPr>
            <w:rStyle w:val="Hyperlink"/>
            <w:rFonts w:asciiTheme="minorHAnsi" w:hAnsiTheme="minorHAnsi" w:cstheme="minorHAnsi"/>
            <w:color w:val="auto"/>
            <w:szCs w:val="21"/>
            <w:u w:val="none"/>
          </w:rPr>
          <w:t>, Baines, S</w:t>
        </w:r>
      </w:hyperlink>
      <w:r w:rsidR="00D46D30" w:rsidRPr="00C85109">
        <w:rPr>
          <w:rStyle w:val="Hyperlink"/>
          <w:rFonts w:asciiTheme="minorHAnsi" w:hAnsiTheme="minorHAnsi" w:cstheme="minorHAnsi"/>
          <w:color w:val="auto"/>
          <w:szCs w:val="21"/>
          <w:u w:val="none"/>
        </w:rPr>
        <w:t>.,</w:t>
      </w:r>
      <w:hyperlink r:id="rId38" w:history="1">
        <w:r w:rsidR="00E35816" w:rsidRPr="00C85109">
          <w:rPr>
            <w:rStyle w:val="Hyperlink"/>
            <w:rFonts w:asciiTheme="minorHAnsi" w:hAnsiTheme="minorHAnsi" w:cstheme="minorHAnsi"/>
            <w:color w:val="auto"/>
            <w:szCs w:val="21"/>
            <w:u w:val="none"/>
          </w:rPr>
          <w:t xml:space="preserve"> &amp; Robertson, J</w:t>
        </w:r>
      </w:hyperlink>
      <w:r w:rsidR="00E35816" w:rsidRPr="00C85109">
        <w:rPr>
          <w:rFonts w:asciiTheme="minorHAnsi" w:hAnsiTheme="minorHAnsi" w:cstheme="minorHAnsi"/>
          <w:szCs w:val="21"/>
        </w:rPr>
        <w:t>. (2018)</w:t>
      </w:r>
      <w:r w:rsidR="00D46D30" w:rsidRPr="00C85109">
        <w:rPr>
          <w:rFonts w:asciiTheme="minorHAnsi" w:hAnsiTheme="minorHAnsi" w:cstheme="minorHAnsi"/>
          <w:szCs w:val="21"/>
        </w:rPr>
        <w:t>.</w:t>
      </w:r>
      <w:r w:rsidR="00E35816" w:rsidRPr="00C85109">
        <w:rPr>
          <w:rFonts w:asciiTheme="minorHAnsi" w:hAnsiTheme="minorHAnsi" w:cstheme="minorHAnsi"/>
          <w:szCs w:val="21"/>
        </w:rPr>
        <w:t xml:space="preserve"> </w:t>
      </w:r>
      <w:hyperlink r:id="rId39" w:history="1">
        <w:r w:rsidR="00E35816" w:rsidRPr="00C85109">
          <w:rPr>
            <w:rStyle w:val="Hyperlink"/>
            <w:rFonts w:asciiTheme="minorHAnsi" w:hAnsiTheme="minorHAnsi" w:cstheme="minorHAnsi"/>
            <w:color w:val="auto"/>
            <w:szCs w:val="21"/>
            <w:u w:val="none"/>
          </w:rPr>
          <w:t xml:space="preserve">The association between employment status and health among British adults with and without intellectual impairments: </w:t>
        </w:r>
        <w:r w:rsidR="00D46D30" w:rsidRPr="00C85109">
          <w:rPr>
            <w:rStyle w:val="Hyperlink"/>
            <w:rFonts w:asciiTheme="minorHAnsi" w:hAnsiTheme="minorHAnsi" w:cstheme="minorHAnsi"/>
            <w:color w:val="auto"/>
            <w:szCs w:val="21"/>
            <w:u w:val="none"/>
          </w:rPr>
          <w:t>C</w:t>
        </w:r>
        <w:r w:rsidR="00E35816" w:rsidRPr="00C85109">
          <w:rPr>
            <w:rStyle w:val="Hyperlink"/>
            <w:rFonts w:asciiTheme="minorHAnsi" w:hAnsiTheme="minorHAnsi" w:cstheme="minorHAnsi"/>
            <w:color w:val="auto"/>
            <w:szCs w:val="21"/>
            <w:u w:val="none"/>
          </w:rPr>
          <w:t>ross-sectional analyses of a cohort study</w:t>
        </w:r>
      </w:hyperlink>
      <w:r w:rsidR="00D46D30" w:rsidRPr="00C85109">
        <w:rPr>
          <w:rFonts w:asciiTheme="minorHAnsi" w:hAnsiTheme="minorHAnsi" w:cstheme="minorHAnsi"/>
          <w:szCs w:val="21"/>
        </w:rPr>
        <w:t>.</w:t>
      </w:r>
      <w:r w:rsidR="00E35816" w:rsidRPr="00C85109">
        <w:rPr>
          <w:rFonts w:asciiTheme="minorHAnsi" w:hAnsiTheme="minorHAnsi" w:cstheme="minorHAnsi"/>
          <w:szCs w:val="21"/>
        </w:rPr>
        <w:t xml:space="preserve"> </w:t>
      </w:r>
      <w:r w:rsidR="00E35816" w:rsidRPr="00C85109">
        <w:rPr>
          <w:rStyle w:val="Emphasis"/>
          <w:rFonts w:asciiTheme="minorHAnsi" w:hAnsiTheme="minorHAnsi" w:cstheme="minorHAnsi"/>
          <w:szCs w:val="21"/>
        </w:rPr>
        <w:t>BMC Public Health</w:t>
      </w:r>
      <w:r w:rsidR="00E35816" w:rsidRPr="00C85109">
        <w:rPr>
          <w:rFonts w:asciiTheme="minorHAnsi" w:hAnsiTheme="minorHAnsi" w:cstheme="minorHAnsi"/>
          <w:szCs w:val="21"/>
        </w:rPr>
        <w:t xml:space="preserve">, </w:t>
      </w:r>
      <w:r w:rsidR="00E35816" w:rsidRPr="00C85109">
        <w:rPr>
          <w:rFonts w:asciiTheme="minorHAnsi" w:hAnsiTheme="minorHAnsi" w:cstheme="minorHAnsi"/>
          <w:i/>
          <w:iCs/>
          <w:szCs w:val="21"/>
        </w:rPr>
        <w:t>18</w:t>
      </w:r>
      <w:r w:rsidR="00050BFE" w:rsidRPr="00C85109">
        <w:rPr>
          <w:rFonts w:asciiTheme="minorHAnsi" w:hAnsiTheme="minorHAnsi" w:cstheme="minorHAnsi"/>
          <w:i/>
          <w:iCs/>
          <w:szCs w:val="21"/>
        </w:rPr>
        <w:t xml:space="preserve">, </w:t>
      </w:r>
      <w:r w:rsidR="00050BFE" w:rsidRPr="00C85109">
        <w:rPr>
          <w:rFonts w:asciiTheme="minorHAnsi" w:hAnsiTheme="minorHAnsi" w:cstheme="minorHAnsi"/>
          <w:szCs w:val="21"/>
        </w:rPr>
        <w:t xml:space="preserve">Article 401. </w:t>
      </w:r>
      <w:r w:rsidR="00740D53" w:rsidRPr="00C85109">
        <w:rPr>
          <w:rFonts w:asciiTheme="minorHAnsi" w:hAnsiTheme="minorHAnsi" w:cstheme="minorHAnsi"/>
          <w:szCs w:val="21"/>
        </w:rPr>
        <w:t>https://doi.org/10.1186/s12889-018-5337-5</w:t>
      </w:r>
    </w:p>
    <w:bookmarkEnd w:id="184"/>
    <w:p w14:paraId="57B13096" w14:textId="2F53DC12" w:rsidR="00E35816" w:rsidRPr="00C85109" w:rsidRDefault="00E35816" w:rsidP="00CE427B">
      <w:pPr>
        <w:autoSpaceDE w:val="0"/>
        <w:autoSpaceDN w:val="0"/>
        <w:adjustRightInd w:val="0"/>
        <w:spacing w:before="0" w:after="120" w:line="276" w:lineRule="auto"/>
        <w:ind w:left="851" w:hanging="491"/>
        <w:rPr>
          <w:rFonts w:asciiTheme="minorHAnsi" w:hAnsiTheme="minorHAnsi" w:cstheme="minorHAnsi"/>
          <w:szCs w:val="21"/>
        </w:rPr>
      </w:pPr>
      <w:r w:rsidRPr="00C85109">
        <w:rPr>
          <w:rStyle w:val="contribdegrees"/>
          <w:rFonts w:asciiTheme="minorHAnsi" w:hAnsiTheme="minorHAnsi" w:cstheme="minorHAnsi"/>
          <w:szCs w:val="21"/>
        </w:rPr>
        <w:t>Fields, C.</w:t>
      </w:r>
      <w:r w:rsidR="00504DD4" w:rsidRPr="00C85109">
        <w:rPr>
          <w:rStyle w:val="contribdegrees"/>
          <w:rFonts w:asciiTheme="minorHAnsi" w:hAnsiTheme="minorHAnsi" w:cstheme="minorHAnsi"/>
          <w:szCs w:val="21"/>
        </w:rPr>
        <w:t xml:space="preserve"> </w:t>
      </w:r>
      <w:r w:rsidRPr="00C85109">
        <w:rPr>
          <w:rStyle w:val="contribdegrees"/>
          <w:rFonts w:asciiTheme="minorHAnsi" w:hAnsiTheme="minorHAnsi" w:cstheme="minorHAnsi"/>
          <w:szCs w:val="21"/>
        </w:rPr>
        <w:t>J.</w:t>
      </w:r>
      <w:r w:rsidR="00504DD4" w:rsidRPr="00C85109">
        <w:rPr>
          <w:rStyle w:val="contribdegrees"/>
          <w:rFonts w:asciiTheme="minorHAnsi" w:hAnsiTheme="minorHAnsi" w:cstheme="minorHAnsi"/>
          <w:szCs w:val="21"/>
        </w:rPr>
        <w:t>,</w:t>
      </w:r>
      <w:r w:rsidRPr="00C85109">
        <w:rPr>
          <w:rStyle w:val="contribdegrees"/>
          <w:rFonts w:asciiTheme="minorHAnsi" w:hAnsiTheme="minorHAnsi" w:cstheme="minorHAnsi"/>
          <w:szCs w:val="21"/>
        </w:rPr>
        <w:t xml:space="preserve"> &amp; </w:t>
      </w:r>
      <w:proofErr w:type="spellStart"/>
      <w:r w:rsidRPr="00C85109">
        <w:rPr>
          <w:rStyle w:val="contribdegrees"/>
          <w:rFonts w:asciiTheme="minorHAnsi" w:hAnsiTheme="minorHAnsi" w:cstheme="minorHAnsi"/>
          <w:szCs w:val="21"/>
        </w:rPr>
        <w:t>Demchak</w:t>
      </w:r>
      <w:proofErr w:type="spellEnd"/>
      <w:r w:rsidRPr="00C85109">
        <w:rPr>
          <w:rStyle w:val="contribdegrees"/>
          <w:rFonts w:asciiTheme="minorHAnsi" w:hAnsiTheme="minorHAnsi" w:cstheme="minorHAnsi"/>
          <w:szCs w:val="21"/>
        </w:rPr>
        <w:t>, M. (2019)</w:t>
      </w:r>
      <w:r w:rsidR="00504DD4" w:rsidRPr="00C85109">
        <w:rPr>
          <w:rStyle w:val="contribdegrees"/>
          <w:rFonts w:asciiTheme="minorHAnsi" w:hAnsiTheme="minorHAnsi" w:cstheme="minorHAnsi"/>
          <w:szCs w:val="21"/>
        </w:rPr>
        <w:t>.</w:t>
      </w:r>
      <w:r w:rsidRPr="00C85109">
        <w:rPr>
          <w:rStyle w:val="contribdegrees"/>
          <w:rFonts w:asciiTheme="minorHAnsi" w:hAnsiTheme="minorHAnsi" w:cstheme="minorHAnsi"/>
          <w:szCs w:val="21"/>
        </w:rPr>
        <w:t xml:space="preserve"> </w:t>
      </w:r>
      <w:r w:rsidRPr="00C85109">
        <w:rPr>
          <w:rFonts w:asciiTheme="minorHAnsi" w:hAnsiTheme="minorHAnsi" w:cstheme="minorHAnsi"/>
          <w:szCs w:val="21"/>
        </w:rPr>
        <w:t xml:space="preserve">Integrated </w:t>
      </w:r>
      <w:r w:rsidR="00504DD4" w:rsidRPr="00C85109">
        <w:rPr>
          <w:rFonts w:asciiTheme="minorHAnsi" w:hAnsiTheme="minorHAnsi" w:cstheme="minorHAnsi"/>
          <w:szCs w:val="21"/>
        </w:rPr>
        <w:t>visual supports in a school-based microenterprise for students with intellectual disabilitie</w:t>
      </w:r>
      <w:r w:rsidRPr="00C85109">
        <w:rPr>
          <w:rFonts w:asciiTheme="minorHAnsi" w:hAnsiTheme="minorHAnsi" w:cstheme="minorHAnsi"/>
          <w:szCs w:val="21"/>
        </w:rPr>
        <w:t>s</w:t>
      </w:r>
      <w:r w:rsidR="00504DD4" w:rsidRPr="00C85109">
        <w:rPr>
          <w:rFonts w:asciiTheme="minorHAnsi" w:hAnsiTheme="minorHAnsi" w:cstheme="minorHAnsi"/>
          <w:szCs w:val="21"/>
        </w:rPr>
        <w:t>.</w:t>
      </w:r>
      <w:r w:rsidRPr="00C85109">
        <w:rPr>
          <w:rFonts w:asciiTheme="minorHAnsi" w:hAnsiTheme="minorHAnsi" w:cstheme="minorHAnsi"/>
          <w:szCs w:val="21"/>
        </w:rPr>
        <w:t xml:space="preserve"> </w:t>
      </w:r>
      <w:r w:rsidRPr="00C85109">
        <w:rPr>
          <w:rFonts w:asciiTheme="minorHAnsi" w:hAnsiTheme="minorHAnsi" w:cstheme="minorHAnsi"/>
          <w:i/>
          <w:iCs/>
          <w:szCs w:val="21"/>
        </w:rPr>
        <w:t>Career Development and Transition for Exceptional Individuals</w:t>
      </w:r>
      <w:r w:rsidR="00504DD4" w:rsidRPr="00C85109">
        <w:rPr>
          <w:rFonts w:asciiTheme="minorHAnsi" w:hAnsiTheme="minorHAnsi" w:cstheme="minorHAnsi"/>
          <w:i/>
          <w:iCs/>
          <w:szCs w:val="21"/>
        </w:rPr>
        <w:t>,</w:t>
      </w:r>
      <w:r w:rsidRPr="00C85109">
        <w:rPr>
          <w:rFonts w:asciiTheme="minorHAnsi" w:hAnsiTheme="minorHAnsi" w:cstheme="minorHAnsi"/>
          <w:szCs w:val="21"/>
        </w:rPr>
        <w:t xml:space="preserve"> </w:t>
      </w:r>
      <w:r w:rsidRPr="00C85109">
        <w:rPr>
          <w:rFonts w:asciiTheme="minorHAnsi" w:hAnsiTheme="minorHAnsi" w:cstheme="minorHAnsi"/>
          <w:i/>
          <w:iCs/>
          <w:szCs w:val="21"/>
        </w:rPr>
        <w:t>42</w:t>
      </w:r>
      <w:r w:rsidRPr="00C85109">
        <w:rPr>
          <w:rFonts w:asciiTheme="minorHAnsi" w:hAnsiTheme="minorHAnsi" w:cstheme="minorHAnsi"/>
          <w:szCs w:val="21"/>
        </w:rPr>
        <w:t>(2)</w:t>
      </w:r>
      <w:r w:rsidR="00504DD4" w:rsidRPr="00C85109">
        <w:rPr>
          <w:rFonts w:asciiTheme="minorHAnsi" w:hAnsiTheme="minorHAnsi" w:cstheme="minorHAnsi"/>
          <w:szCs w:val="21"/>
        </w:rPr>
        <w:t>,</w:t>
      </w:r>
      <w:r w:rsidRPr="00C85109">
        <w:rPr>
          <w:rFonts w:asciiTheme="minorHAnsi" w:hAnsiTheme="minorHAnsi" w:cstheme="minorHAnsi"/>
          <w:szCs w:val="21"/>
        </w:rPr>
        <w:t xml:space="preserve"> 128</w:t>
      </w:r>
      <w:r w:rsidR="00504DD4" w:rsidRPr="00C85109">
        <w:rPr>
          <w:rFonts w:asciiTheme="minorHAnsi" w:hAnsiTheme="minorHAnsi" w:cstheme="minorHAnsi"/>
          <w:szCs w:val="21"/>
        </w:rPr>
        <w:t>-</w:t>
      </w:r>
      <w:r w:rsidRPr="00C85109">
        <w:rPr>
          <w:rFonts w:asciiTheme="minorHAnsi" w:hAnsiTheme="minorHAnsi" w:cstheme="minorHAnsi"/>
          <w:szCs w:val="21"/>
        </w:rPr>
        <w:t>134.</w:t>
      </w:r>
      <w:r w:rsidR="00A81BE9" w:rsidRPr="00C85109">
        <w:rPr>
          <w:rFonts w:asciiTheme="minorHAnsi" w:hAnsiTheme="minorHAnsi" w:cstheme="minorHAnsi"/>
          <w:szCs w:val="21"/>
        </w:rPr>
        <w:t xml:space="preserve"> https://doi.org/10.1177/2165143418769611</w:t>
      </w:r>
    </w:p>
    <w:p w14:paraId="560BFD86" w14:textId="1FBFF144" w:rsidR="00C33D7B" w:rsidRPr="00C85109" w:rsidRDefault="00C33D7B" w:rsidP="00CE427B">
      <w:pPr>
        <w:pStyle w:val="EndNoteBibliography"/>
        <w:spacing w:after="120" w:line="276" w:lineRule="auto"/>
        <w:ind w:left="851" w:hanging="491"/>
        <w:rPr>
          <w:rFonts w:asciiTheme="minorHAnsi" w:hAnsiTheme="minorHAnsi" w:cstheme="minorHAnsi"/>
          <w:sz w:val="21"/>
          <w:szCs w:val="21"/>
        </w:rPr>
      </w:pPr>
      <w:bookmarkStart w:id="185" w:name="_Hlk42527531"/>
      <w:bookmarkStart w:id="186" w:name="_Hlk41247198"/>
      <w:r w:rsidRPr="00C85109">
        <w:rPr>
          <w:rFonts w:asciiTheme="minorHAnsi" w:hAnsiTheme="minorHAnsi" w:cstheme="minorHAnsi"/>
          <w:sz w:val="21"/>
          <w:szCs w:val="21"/>
        </w:rPr>
        <w:t xml:space="preserve">Flinders University. (n.d.). </w:t>
      </w:r>
      <w:r w:rsidRPr="00C85109">
        <w:rPr>
          <w:rFonts w:asciiTheme="minorHAnsi" w:hAnsiTheme="minorHAnsi" w:cstheme="minorHAnsi"/>
          <w:i/>
          <w:iCs/>
          <w:sz w:val="21"/>
          <w:szCs w:val="21"/>
        </w:rPr>
        <w:t>The Up the Hill Project.</w:t>
      </w:r>
      <w:r w:rsidRPr="00C85109">
        <w:rPr>
          <w:rFonts w:asciiTheme="minorHAnsi" w:hAnsiTheme="minorHAnsi" w:cstheme="minorHAnsi"/>
          <w:sz w:val="21"/>
          <w:szCs w:val="21"/>
        </w:rPr>
        <w:t xml:space="preserve"> https://www.flinders.edu.au/engage/community/clinics/up-the-hill-project</w:t>
      </w:r>
    </w:p>
    <w:p w14:paraId="43A1D9C3" w14:textId="0CA2A120" w:rsidR="00E35816" w:rsidRPr="00C85109" w:rsidRDefault="00E35816" w:rsidP="00CE427B">
      <w:pPr>
        <w:pStyle w:val="EndNoteBibliography"/>
        <w:spacing w:after="120" w:line="276" w:lineRule="auto"/>
        <w:ind w:left="851" w:hanging="491"/>
        <w:rPr>
          <w:rFonts w:asciiTheme="minorHAnsi" w:hAnsiTheme="minorHAnsi" w:cstheme="minorHAnsi"/>
          <w:sz w:val="21"/>
          <w:szCs w:val="21"/>
        </w:rPr>
      </w:pPr>
      <w:r w:rsidRPr="00C85109">
        <w:rPr>
          <w:rFonts w:asciiTheme="minorHAnsi" w:hAnsiTheme="minorHAnsi" w:cstheme="minorHAnsi"/>
          <w:sz w:val="21"/>
          <w:szCs w:val="21"/>
        </w:rPr>
        <w:t>Foley, K.</w:t>
      </w:r>
      <w:r w:rsidR="007546CA" w:rsidRPr="00C85109">
        <w:rPr>
          <w:rFonts w:asciiTheme="minorHAnsi" w:hAnsiTheme="minorHAnsi" w:cstheme="minorHAnsi"/>
          <w:sz w:val="21"/>
          <w:szCs w:val="21"/>
        </w:rPr>
        <w:t>-</w:t>
      </w:r>
      <w:r w:rsidRPr="00C85109">
        <w:rPr>
          <w:rFonts w:asciiTheme="minorHAnsi" w:hAnsiTheme="minorHAnsi" w:cstheme="minorHAnsi"/>
          <w:sz w:val="21"/>
          <w:szCs w:val="21"/>
        </w:rPr>
        <w:t>R., Jacoby, P., Girdler, S., Bourke, J., Pikora, T., Lennox, N</w:t>
      </w:r>
      <w:r w:rsidR="00C37812" w:rsidRPr="00C85109">
        <w:rPr>
          <w:rFonts w:asciiTheme="minorHAnsi" w:hAnsiTheme="minorHAnsi" w:cstheme="minorHAnsi"/>
          <w:sz w:val="21"/>
          <w:szCs w:val="21"/>
        </w:rPr>
        <w:t xml:space="preserve">., </w:t>
      </w:r>
      <w:r w:rsidR="00980D4A" w:rsidRPr="00C85109">
        <w:rPr>
          <w:rFonts w:asciiTheme="minorHAnsi" w:hAnsiTheme="minorHAnsi" w:cstheme="minorHAnsi"/>
          <w:sz w:val="21"/>
          <w:szCs w:val="21"/>
        </w:rPr>
        <w:t xml:space="preserve">Einfeld, S., Llewellyn, G., Parmenter, T.R., &amp; </w:t>
      </w:r>
      <w:r w:rsidRPr="00C85109">
        <w:rPr>
          <w:rFonts w:asciiTheme="minorHAnsi" w:hAnsiTheme="minorHAnsi" w:cstheme="minorHAnsi"/>
          <w:sz w:val="21"/>
          <w:szCs w:val="21"/>
        </w:rPr>
        <w:t xml:space="preserve">Leonard, H. (2013). Functioning and post-school transition outcomes for young people with Down syndrome. </w:t>
      </w:r>
      <w:r w:rsidRPr="00C85109">
        <w:rPr>
          <w:rFonts w:asciiTheme="minorHAnsi" w:hAnsiTheme="minorHAnsi" w:cstheme="minorHAnsi"/>
          <w:i/>
          <w:sz w:val="21"/>
          <w:szCs w:val="21"/>
        </w:rPr>
        <w:t xml:space="preserve">Child: Care, Health </w:t>
      </w:r>
      <w:r w:rsidR="00A422CE" w:rsidRPr="00C85109">
        <w:rPr>
          <w:rFonts w:asciiTheme="minorHAnsi" w:hAnsiTheme="minorHAnsi" w:cstheme="minorHAnsi"/>
          <w:i/>
          <w:sz w:val="21"/>
          <w:szCs w:val="21"/>
        </w:rPr>
        <w:t>a</w:t>
      </w:r>
      <w:r w:rsidRPr="00C85109">
        <w:rPr>
          <w:rFonts w:asciiTheme="minorHAnsi" w:hAnsiTheme="minorHAnsi" w:cstheme="minorHAnsi"/>
          <w:i/>
          <w:sz w:val="21"/>
          <w:szCs w:val="21"/>
        </w:rPr>
        <w:t>nd Development, 39</w:t>
      </w:r>
      <w:r w:rsidRPr="00C85109">
        <w:rPr>
          <w:rFonts w:asciiTheme="minorHAnsi" w:hAnsiTheme="minorHAnsi" w:cstheme="minorHAnsi"/>
          <w:sz w:val="21"/>
          <w:szCs w:val="21"/>
        </w:rPr>
        <w:t xml:space="preserve">(6), 789-800. </w:t>
      </w:r>
      <w:r w:rsidR="00235211" w:rsidRPr="00C85109">
        <w:rPr>
          <w:rFonts w:asciiTheme="minorHAnsi" w:hAnsiTheme="minorHAnsi" w:cstheme="minorHAnsi"/>
          <w:sz w:val="21"/>
          <w:szCs w:val="21"/>
        </w:rPr>
        <w:t>https://doi.org/10.1111/cch.12019</w:t>
      </w:r>
    </w:p>
    <w:bookmarkEnd w:id="185"/>
    <w:p w14:paraId="07091341" w14:textId="4A6720F9" w:rsidR="00E35816" w:rsidRPr="00C85109" w:rsidRDefault="00E35816" w:rsidP="00CE427B">
      <w:pPr>
        <w:autoSpaceDE w:val="0"/>
        <w:autoSpaceDN w:val="0"/>
        <w:adjustRightInd w:val="0"/>
        <w:spacing w:before="0" w:after="120" w:line="276" w:lineRule="auto"/>
        <w:ind w:left="851" w:hanging="491"/>
        <w:rPr>
          <w:rFonts w:asciiTheme="minorHAnsi" w:hAnsiTheme="minorHAnsi" w:cstheme="minorHAnsi"/>
          <w:szCs w:val="21"/>
        </w:rPr>
      </w:pPr>
      <w:r w:rsidRPr="00C85109">
        <w:rPr>
          <w:rFonts w:asciiTheme="minorHAnsi" w:hAnsiTheme="minorHAnsi" w:cstheme="minorHAnsi"/>
          <w:szCs w:val="21"/>
        </w:rPr>
        <w:t>Francis, G.</w:t>
      </w:r>
      <w:r w:rsidR="00815C58" w:rsidRPr="00C85109">
        <w:rPr>
          <w:rFonts w:asciiTheme="minorHAnsi" w:hAnsiTheme="minorHAnsi" w:cstheme="minorHAnsi"/>
          <w:szCs w:val="21"/>
        </w:rPr>
        <w:t>,</w:t>
      </w:r>
      <w:r w:rsidRPr="00C85109">
        <w:rPr>
          <w:rFonts w:asciiTheme="minorHAnsi" w:hAnsiTheme="minorHAnsi" w:cstheme="minorHAnsi"/>
          <w:szCs w:val="21"/>
        </w:rPr>
        <w:t xml:space="preserve"> Gross, J.</w:t>
      </w:r>
      <w:r w:rsidR="00E15FD0" w:rsidRPr="00C85109">
        <w:rPr>
          <w:rFonts w:asciiTheme="minorHAnsi" w:hAnsiTheme="minorHAnsi" w:cstheme="minorHAnsi"/>
          <w:szCs w:val="21"/>
        </w:rPr>
        <w:t xml:space="preserve"> M. S.</w:t>
      </w:r>
      <w:r w:rsidR="00815C58" w:rsidRPr="00C85109">
        <w:rPr>
          <w:rFonts w:asciiTheme="minorHAnsi" w:hAnsiTheme="minorHAnsi" w:cstheme="minorHAnsi"/>
          <w:szCs w:val="21"/>
        </w:rPr>
        <w:t xml:space="preserve">, </w:t>
      </w:r>
      <w:r w:rsidRPr="00C85109">
        <w:rPr>
          <w:rFonts w:asciiTheme="minorHAnsi" w:hAnsiTheme="minorHAnsi" w:cstheme="minorHAnsi"/>
          <w:szCs w:val="21"/>
        </w:rPr>
        <w:t>Turnbull, R.</w:t>
      </w:r>
      <w:r w:rsidR="00815C58" w:rsidRPr="00C85109">
        <w:rPr>
          <w:rFonts w:asciiTheme="minorHAnsi" w:hAnsiTheme="minorHAnsi" w:cstheme="minorHAnsi"/>
          <w:szCs w:val="21"/>
        </w:rPr>
        <w:t>,</w:t>
      </w:r>
      <w:r w:rsidRPr="00C85109">
        <w:rPr>
          <w:rFonts w:asciiTheme="minorHAnsi" w:hAnsiTheme="minorHAnsi" w:cstheme="minorHAnsi"/>
          <w:szCs w:val="21"/>
        </w:rPr>
        <w:t xml:space="preserve"> &amp; Parent-Johnson, W. (2013). Evaluating the effectiveness of the </w:t>
      </w:r>
      <w:r w:rsidR="00FC4C62" w:rsidRPr="00C85109">
        <w:rPr>
          <w:rFonts w:asciiTheme="minorHAnsi" w:hAnsiTheme="minorHAnsi" w:cstheme="minorHAnsi"/>
          <w:szCs w:val="21"/>
        </w:rPr>
        <w:t xml:space="preserve">family employment awareness training </w:t>
      </w:r>
      <w:r w:rsidRPr="00C85109">
        <w:rPr>
          <w:rFonts w:asciiTheme="minorHAnsi" w:hAnsiTheme="minorHAnsi" w:cstheme="minorHAnsi"/>
          <w:szCs w:val="21"/>
        </w:rPr>
        <w:t>in Kansas</w:t>
      </w:r>
      <w:r w:rsidR="0022011D" w:rsidRPr="00C85109">
        <w:rPr>
          <w:rFonts w:asciiTheme="minorHAnsi" w:hAnsiTheme="minorHAnsi" w:cstheme="minorHAnsi"/>
          <w:szCs w:val="21"/>
        </w:rPr>
        <w:t>: A pilot study</w:t>
      </w:r>
      <w:r w:rsidR="00FC4C62" w:rsidRPr="00C85109">
        <w:rPr>
          <w:rFonts w:asciiTheme="minorHAnsi" w:hAnsiTheme="minorHAnsi" w:cstheme="minorHAnsi"/>
          <w:szCs w:val="21"/>
        </w:rPr>
        <w:t>.</w:t>
      </w:r>
      <w:r w:rsidRPr="00C85109">
        <w:rPr>
          <w:rFonts w:asciiTheme="minorHAnsi" w:hAnsiTheme="minorHAnsi" w:cstheme="minorHAnsi"/>
          <w:szCs w:val="21"/>
        </w:rPr>
        <w:t xml:space="preserve"> </w:t>
      </w:r>
      <w:r w:rsidRPr="00C85109">
        <w:rPr>
          <w:rFonts w:asciiTheme="minorHAnsi" w:hAnsiTheme="minorHAnsi" w:cstheme="minorHAnsi"/>
          <w:i/>
          <w:iCs/>
          <w:szCs w:val="21"/>
        </w:rPr>
        <w:t xml:space="preserve">Research </w:t>
      </w:r>
      <w:r w:rsidR="00465F74" w:rsidRPr="00C85109">
        <w:rPr>
          <w:rFonts w:asciiTheme="minorHAnsi" w:hAnsiTheme="minorHAnsi" w:cstheme="minorHAnsi"/>
          <w:i/>
          <w:iCs/>
          <w:szCs w:val="21"/>
        </w:rPr>
        <w:t>and</w:t>
      </w:r>
      <w:r w:rsidRPr="00C85109">
        <w:rPr>
          <w:rFonts w:asciiTheme="minorHAnsi" w:hAnsiTheme="minorHAnsi" w:cstheme="minorHAnsi"/>
          <w:i/>
          <w:iCs/>
          <w:szCs w:val="21"/>
        </w:rPr>
        <w:t xml:space="preserve"> Practice for Persons with Severe Disabilities</w:t>
      </w:r>
      <w:r w:rsidRPr="00C85109">
        <w:rPr>
          <w:rFonts w:asciiTheme="minorHAnsi" w:hAnsiTheme="minorHAnsi" w:cstheme="minorHAnsi"/>
          <w:szCs w:val="21"/>
        </w:rPr>
        <w:t xml:space="preserve">, </w:t>
      </w:r>
      <w:r w:rsidRPr="00C85109">
        <w:rPr>
          <w:rFonts w:asciiTheme="minorHAnsi" w:hAnsiTheme="minorHAnsi" w:cstheme="minorHAnsi"/>
          <w:i/>
          <w:iCs/>
          <w:szCs w:val="21"/>
        </w:rPr>
        <w:t>38</w:t>
      </w:r>
      <w:r w:rsidR="00FC4C62" w:rsidRPr="00C85109">
        <w:rPr>
          <w:rFonts w:asciiTheme="minorHAnsi" w:hAnsiTheme="minorHAnsi" w:cstheme="minorHAnsi"/>
          <w:szCs w:val="21"/>
        </w:rPr>
        <w:t>(1)</w:t>
      </w:r>
      <w:r w:rsidRPr="00C85109">
        <w:rPr>
          <w:rFonts w:asciiTheme="minorHAnsi" w:hAnsiTheme="minorHAnsi" w:cstheme="minorHAnsi"/>
          <w:szCs w:val="21"/>
        </w:rPr>
        <w:t>, 44</w:t>
      </w:r>
      <w:r w:rsidR="00FC4C62" w:rsidRPr="00C85109">
        <w:rPr>
          <w:rFonts w:asciiTheme="minorHAnsi" w:hAnsiTheme="minorHAnsi" w:cstheme="minorHAnsi"/>
          <w:szCs w:val="21"/>
        </w:rPr>
        <w:t>-</w:t>
      </w:r>
      <w:r w:rsidRPr="00C85109">
        <w:rPr>
          <w:rFonts w:asciiTheme="minorHAnsi" w:hAnsiTheme="minorHAnsi" w:cstheme="minorHAnsi"/>
          <w:szCs w:val="21"/>
        </w:rPr>
        <w:t>57</w:t>
      </w:r>
      <w:r w:rsidR="00FC4C62" w:rsidRPr="00C85109">
        <w:rPr>
          <w:rFonts w:asciiTheme="minorHAnsi" w:hAnsiTheme="minorHAnsi" w:cstheme="minorHAnsi"/>
          <w:szCs w:val="21"/>
        </w:rPr>
        <w:t>.</w:t>
      </w:r>
      <w:r w:rsidR="000100AF" w:rsidRPr="00C85109">
        <w:rPr>
          <w:rFonts w:asciiTheme="minorHAnsi" w:hAnsiTheme="minorHAnsi" w:cstheme="minorHAnsi"/>
          <w:szCs w:val="21"/>
        </w:rPr>
        <w:t xml:space="preserve"> https://doi.org/10.2511/027494813807046953</w:t>
      </w:r>
    </w:p>
    <w:p w14:paraId="023466A1" w14:textId="3B6D01A3" w:rsidR="00E35816" w:rsidRPr="00C85109" w:rsidRDefault="00E35816" w:rsidP="00CE427B">
      <w:pPr>
        <w:pStyle w:val="EndNoteBibliography"/>
        <w:spacing w:after="120" w:line="276" w:lineRule="auto"/>
        <w:ind w:left="851" w:hanging="491"/>
        <w:rPr>
          <w:rFonts w:asciiTheme="minorHAnsi" w:hAnsiTheme="minorHAnsi" w:cstheme="minorHAnsi"/>
          <w:sz w:val="21"/>
          <w:szCs w:val="21"/>
        </w:rPr>
      </w:pPr>
      <w:bookmarkStart w:id="187" w:name="_Hlk41253759"/>
      <w:r w:rsidRPr="00C85109">
        <w:rPr>
          <w:rFonts w:asciiTheme="minorHAnsi" w:hAnsiTheme="minorHAnsi" w:cstheme="minorHAnsi"/>
          <w:sz w:val="21"/>
          <w:szCs w:val="21"/>
        </w:rPr>
        <w:t>Francis, G.</w:t>
      </w:r>
      <w:r w:rsidR="00233AB7" w:rsidRPr="00C85109">
        <w:rPr>
          <w:rFonts w:asciiTheme="minorHAnsi" w:hAnsiTheme="minorHAnsi" w:cstheme="minorHAnsi"/>
          <w:sz w:val="21"/>
          <w:szCs w:val="21"/>
        </w:rPr>
        <w:t xml:space="preserve"> L.</w:t>
      </w:r>
      <w:r w:rsidRPr="00C85109">
        <w:rPr>
          <w:rFonts w:asciiTheme="minorHAnsi" w:hAnsiTheme="minorHAnsi" w:cstheme="minorHAnsi"/>
          <w:sz w:val="21"/>
          <w:szCs w:val="21"/>
        </w:rPr>
        <w:t xml:space="preserve">, Stride, A., &amp; Reed, S. (2018). Transition strategies and recommendations: </w:t>
      </w:r>
      <w:r w:rsidR="00FC4C62" w:rsidRPr="00C85109">
        <w:rPr>
          <w:rFonts w:asciiTheme="minorHAnsi" w:hAnsiTheme="minorHAnsi" w:cstheme="minorHAnsi"/>
          <w:sz w:val="21"/>
          <w:szCs w:val="21"/>
        </w:rPr>
        <w:t>P</w:t>
      </w:r>
      <w:r w:rsidRPr="00C85109">
        <w:rPr>
          <w:rFonts w:asciiTheme="minorHAnsi" w:hAnsiTheme="minorHAnsi" w:cstheme="minorHAnsi"/>
          <w:sz w:val="21"/>
          <w:szCs w:val="21"/>
        </w:rPr>
        <w:t xml:space="preserve">erspectives of parents of young adults with disabilities. </w:t>
      </w:r>
      <w:r w:rsidRPr="00C85109">
        <w:rPr>
          <w:rFonts w:asciiTheme="minorHAnsi" w:hAnsiTheme="minorHAnsi" w:cstheme="minorHAnsi"/>
          <w:i/>
          <w:sz w:val="21"/>
          <w:szCs w:val="21"/>
        </w:rPr>
        <w:t>British Journal of Special Education, 45</w:t>
      </w:r>
      <w:r w:rsidRPr="00C85109">
        <w:rPr>
          <w:rFonts w:asciiTheme="minorHAnsi" w:hAnsiTheme="minorHAnsi" w:cstheme="minorHAnsi"/>
          <w:sz w:val="21"/>
          <w:szCs w:val="21"/>
        </w:rPr>
        <w:t>(3), 277</w:t>
      </w:r>
      <w:r w:rsidR="007D02A9" w:rsidRPr="00C85109">
        <w:rPr>
          <w:rFonts w:asciiTheme="minorHAnsi" w:hAnsiTheme="minorHAnsi" w:cstheme="minorHAnsi"/>
          <w:sz w:val="21"/>
          <w:szCs w:val="21"/>
        </w:rPr>
        <w:t>-301</w:t>
      </w:r>
      <w:r w:rsidRPr="00C85109">
        <w:rPr>
          <w:rFonts w:asciiTheme="minorHAnsi" w:hAnsiTheme="minorHAnsi" w:cstheme="minorHAnsi"/>
          <w:sz w:val="21"/>
          <w:szCs w:val="21"/>
        </w:rPr>
        <w:t xml:space="preserve">. </w:t>
      </w:r>
      <w:r w:rsidR="007D02A9" w:rsidRPr="00C85109">
        <w:rPr>
          <w:rFonts w:asciiTheme="minorHAnsi" w:hAnsiTheme="minorHAnsi" w:cstheme="minorHAnsi"/>
          <w:sz w:val="21"/>
          <w:szCs w:val="21"/>
        </w:rPr>
        <w:t>https://doi.org/10.1111/1467-8578.12232</w:t>
      </w:r>
    </w:p>
    <w:bookmarkEnd w:id="186"/>
    <w:bookmarkEnd w:id="187"/>
    <w:p w14:paraId="2F51E2F0" w14:textId="677116D7" w:rsidR="00E35816" w:rsidRPr="00C85109" w:rsidRDefault="00E35816" w:rsidP="00CE427B">
      <w:pPr>
        <w:shd w:val="clear" w:color="auto" w:fill="FFFFFF"/>
        <w:spacing w:before="0" w:after="120" w:line="276" w:lineRule="auto"/>
        <w:ind w:left="851" w:hanging="491"/>
        <w:rPr>
          <w:rFonts w:asciiTheme="minorHAnsi" w:hAnsiTheme="minorHAnsi" w:cstheme="minorHAnsi"/>
          <w:szCs w:val="21"/>
          <w:lang w:val="en" w:eastAsia="en-AU"/>
        </w:rPr>
      </w:pPr>
      <w:r w:rsidRPr="00C85109">
        <w:rPr>
          <w:rFonts w:asciiTheme="minorHAnsi" w:hAnsiTheme="minorHAnsi" w:cstheme="minorHAnsi"/>
          <w:szCs w:val="21"/>
          <w:lang w:val="en" w:eastAsia="en-AU"/>
        </w:rPr>
        <w:t>Freeman, S. F. N.</w:t>
      </w:r>
      <w:r w:rsidR="00FC4C62" w:rsidRPr="00C85109">
        <w:rPr>
          <w:rFonts w:asciiTheme="minorHAnsi" w:hAnsiTheme="minorHAnsi" w:cstheme="minorHAnsi"/>
          <w:szCs w:val="21"/>
          <w:lang w:val="en" w:eastAsia="en-AU"/>
        </w:rPr>
        <w:t>,</w:t>
      </w:r>
      <w:r w:rsidRPr="00C85109">
        <w:rPr>
          <w:rFonts w:asciiTheme="minorHAnsi" w:hAnsiTheme="minorHAnsi" w:cstheme="minorHAnsi"/>
          <w:szCs w:val="21"/>
          <w:lang w:val="en" w:eastAsia="en-AU"/>
        </w:rPr>
        <w:t xml:space="preserve"> &amp; </w:t>
      </w:r>
      <w:proofErr w:type="spellStart"/>
      <w:r w:rsidRPr="00C85109">
        <w:rPr>
          <w:rFonts w:asciiTheme="minorHAnsi" w:hAnsiTheme="minorHAnsi" w:cstheme="minorHAnsi"/>
          <w:szCs w:val="21"/>
          <w:lang w:val="en" w:eastAsia="en-AU"/>
        </w:rPr>
        <w:t>Alkin</w:t>
      </w:r>
      <w:proofErr w:type="spellEnd"/>
      <w:r w:rsidRPr="00C85109">
        <w:rPr>
          <w:rFonts w:asciiTheme="minorHAnsi" w:hAnsiTheme="minorHAnsi" w:cstheme="minorHAnsi"/>
          <w:szCs w:val="21"/>
          <w:lang w:val="en" w:eastAsia="en-AU"/>
        </w:rPr>
        <w:t>, M. C. (2000)</w:t>
      </w:r>
      <w:r w:rsidR="00FC4C62" w:rsidRPr="00C85109">
        <w:rPr>
          <w:rFonts w:asciiTheme="minorHAnsi" w:hAnsiTheme="minorHAnsi" w:cstheme="minorHAnsi"/>
          <w:szCs w:val="21"/>
          <w:lang w:val="en" w:eastAsia="en-AU"/>
        </w:rPr>
        <w:t>.</w:t>
      </w:r>
      <w:r w:rsidRPr="00C85109">
        <w:rPr>
          <w:rFonts w:asciiTheme="minorHAnsi" w:hAnsiTheme="minorHAnsi" w:cstheme="minorHAnsi"/>
          <w:szCs w:val="21"/>
          <w:lang w:val="en" w:eastAsia="en-AU"/>
        </w:rPr>
        <w:t xml:space="preserve"> Academic </w:t>
      </w:r>
      <w:r w:rsidR="00FC4C62" w:rsidRPr="00C85109">
        <w:rPr>
          <w:rFonts w:asciiTheme="minorHAnsi" w:hAnsiTheme="minorHAnsi" w:cstheme="minorHAnsi"/>
          <w:szCs w:val="21"/>
          <w:lang w:val="en" w:eastAsia="en-AU"/>
        </w:rPr>
        <w:t>and social attainments of children with mental retardation in general education and special education settings.</w:t>
      </w:r>
      <w:r w:rsidRPr="00C85109">
        <w:rPr>
          <w:rFonts w:asciiTheme="minorHAnsi" w:hAnsiTheme="minorHAnsi" w:cstheme="minorHAnsi"/>
          <w:szCs w:val="21"/>
          <w:lang w:val="en" w:eastAsia="en-AU"/>
        </w:rPr>
        <w:t xml:space="preserve"> </w:t>
      </w:r>
      <w:r w:rsidRPr="00C85109">
        <w:rPr>
          <w:rFonts w:asciiTheme="minorHAnsi" w:hAnsiTheme="minorHAnsi" w:cstheme="minorHAnsi"/>
          <w:i/>
          <w:szCs w:val="21"/>
          <w:lang w:val="en" w:eastAsia="en-AU"/>
        </w:rPr>
        <w:t>Remedial and Special Education</w:t>
      </w:r>
      <w:r w:rsidRPr="00C85109">
        <w:rPr>
          <w:rFonts w:asciiTheme="minorHAnsi" w:hAnsiTheme="minorHAnsi" w:cstheme="minorHAnsi"/>
          <w:szCs w:val="21"/>
          <w:lang w:val="en" w:eastAsia="en-AU"/>
        </w:rPr>
        <w:t xml:space="preserve">, </w:t>
      </w:r>
      <w:r w:rsidRPr="00C85109">
        <w:rPr>
          <w:rFonts w:asciiTheme="minorHAnsi" w:hAnsiTheme="minorHAnsi" w:cstheme="minorHAnsi"/>
          <w:i/>
          <w:iCs/>
          <w:szCs w:val="21"/>
          <w:lang w:val="en" w:eastAsia="en-AU"/>
        </w:rPr>
        <w:t>21</w:t>
      </w:r>
      <w:r w:rsidR="00FC4C62" w:rsidRPr="00C85109">
        <w:rPr>
          <w:rFonts w:asciiTheme="minorHAnsi" w:hAnsiTheme="minorHAnsi" w:cstheme="minorHAnsi"/>
          <w:szCs w:val="21"/>
          <w:lang w:val="en" w:eastAsia="en-AU"/>
        </w:rPr>
        <w:t>(</w:t>
      </w:r>
      <w:r w:rsidRPr="00C85109">
        <w:rPr>
          <w:rFonts w:asciiTheme="minorHAnsi" w:hAnsiTheme="minorHAnsi" w:cstheme="minorHAnsi"/>
          <w:szCs w:val="21"/>
          <w:lang w:val="en" w:eastAsia="en-AU"/>
        </w:rPr>
        <w:t>1</w:t>
      </w:r>
      <w:r w:rsidR="00FC4C62" w:rsidRPr="00C85109">
        <w:rPr>
          <w:rFonts w:asciiTheme="minorHAnsi" w:hAnsiTheme="minorHAnsi" w:cstheme="minorHAnsi"/>
          <w:szCs w:val="21"/>
          <w:lang w:val="en" w:eastAsia="en-AU"/>
        </w:rPr>
        <w:t>)</w:t>
      </w:r>
      <w:r w:rsidRPr="00C85109">
        <w:rPr>
          <w:rFonts w:asciiTheme="minorHAnsi" w:hAnsiTheme="minorHAnsi" w:cstheme="minorHAnsi"/>
          <w:szCs w:val="21"/>
          <w:lang w:val="en" w:eastAsia="en-AU"/>
        </w:rPr>
        <w:t>, 3-26.</w:t>
      </w:r>
      <w:r w:rsidR="0013716F" w:rsidRPr="00C85109">
        <w:rPr>
          <w:rFonts w:asciiTheme="minorHAnsi" w:hAnsiTheme="minorHAnsi" w:cstheme="minorHAnsi"/>
          <w:szCs w:val="21"/>
          <w:lang w:val="en" w:eastAsia="en-AU"/>
        </w:rPr>
        <w:t xml:space="preserve"> https://doi.org/10.1177/074193250002100102</w:t>
      </w:r>
    </w:p>
    <w:p w14:paraId="737BF0B8" w14:textId="5FBFC988" w:rsidR="00E35816" w:rsidRPr="00C85109" w:rsidRDefault="00E35816" w:rsidP="00CE427B">
      <w:pPr>
        <w:shd w:val="clear" w:color="auto" w:fill="FFFFFF"/>
        <w:spacing w:before="0" w:after="120" w:line="276" w:lineRule="auto"/>
        <w:ind w:left="851" w:hanging="491"/>
        <w:rPr>
          <w:rFonts w:asciiTheme="minorHAnsi" w:hAnsiTheme="minorHAnsi" w:cstheme="minorHAnsi"/>
          <w:szCs w:val="21"/>
          <w:lang w:val="en" w:eastAsia="en-AU"/>
        </w:rPr>
      </w:pPr>
      <w:r w:rsidRPr="00C85109">
        <w:rPr>
          <w:rFonts w:asciiTheme="minorHAnsi" w:hAnsiTheme="minorHAnsi" w:cstheme="minorHAnsi"/>
          <w:szCs w:val="21"/>
          <w:lang w:val="en" w:eastAsia="en-AU"/>
        </w:rPr>
        <w:t>Gilson, C.</w:t>
      </w:r>
      <w:r w:rsidR="00FC4C62" w:rsidRPr="00C85109">
        <w:rPr>
          <w:rFonts w:asciiTheme="minorHAnsi" w:hAnsiTheme="minorHAnsi" w:cstheme="minorHAnsi"/>
          <w:szCs w:val="21"/>
          <w:lang w:val="en" w:eastAsia="en-AU"/>
        </w:rPr>
        <w:t xml:space="preserve"> </w:t>
      </w:r>
      <w:r w:rsidRPr="00C85109">
        <w:rPr>
          <w:rFonts w:asciiTheme="minorHAnsi" w:hAnsiTheme="minorHAnsi" w:cstheme="minorHAnsi"/>
          <w:szCs w:val="21"/>
          <w:lang w:val="en" w:eastAsia="en-AU"/>
        </w:rPr>
        <w:t>B.</w:t>
      </w:r>
      <w:r w:rsidR="00FC4C62" w:rsidRPr="00C85109">
        <w:rPr>
          <w:rFonts w:asciiTheme="minorHAnsi" w:hAnsiTheme="minorHAnsi" w:cstheme="minorHAnsi"/>
          <w:szCs w:val="21"/>
          <w:lang w:val="en" w:eastAsia="en-AU"/>
        </w:rPr>
        <w:t>,</w:t>
      </w:r>
      <w:r w:rsidRPr="00C85109">
        <w:rPr>
          <w:rFonts w:asciiTheme="minorHAnsi" w:hAnsiTheme="minorHAnsi" w:cstheme="minorHAnsi"/>
          <w:szCs w:val="21"/>
          <w:lang w:val="en" w:eastAsia="en-AU"/>
        </w:rPr>
        <w:t xml:space="preserve"> &amp; Carter, E. W. (2016). Promoting </w:t>
      </w:r>
      <w:r w:rsidR="00FC4C62" w:rsidRPr="00C85109">
        <w:rPr>
          <w:rFonts w:asciiTheme="minorHAnsi" w:hAnsiTheme="minorHAnsi" w:cstheme="minorHAnsi"/>
          <w:szCs w:val="21"/>
          <w:lang w:val="en" w:eastAsia="en-AU"/>
        </w:rPr>
        <w:t>social interactions and job independence for college students with autism or intellectual disability</w:t>
      </w:r>
      <w:r w:rsidRPr="00C85109">
        <w:rPr>
          <w:rFonts w:asciiTheme="minorHAnsi" w:hAnsiTheme="minorHAnsi" w:cstheme="minorHAnsi"/>
          <w:szCs w:val="21"/>
          <w:lang w:val="en" w:eastAsia="en-AU"/>
        </w:rPr>
        <w:t xml:space="preserve">: A </w:t>
      </w:r>
      <w:r w:rsidR="00FC4C62" w:rsidRPr="00C85109">
        <w:rPr>
          <w:rFonts w:asciiTheme="minorHAnsi" w:hAnsiTheme="minorHAnsi" w:cstheme="minorHAnsi"/>
          <w:szCs w:val="21"/>
          <w:lang w:val="en" w:eastAsia="en-AU"/>
        </w:rPr>
        <w:t>pilot study</w:t>
      </w:r>
      <w:r w:rsidR="00EF09BC" w:rsidRPr="00C85109">
        <w:rPr>
          <w:rFonts w:asciiTheme="minorHAnsi" w:hAnsiTheme="minorHAnsi" w:cstheme="minorHAnsi"/>
          <w:szCs w:val="21"/>
          <w:lang w:val="en" w:eastAsia="en-AU"/>
        </w:rPr>
        <w:t>.</w:t>
      </w:r>
      <w:r w:rsidRPr="00C85109">
        <w:rPr>
          <w:rFonts w:asciiTheme="minorHAnsi" w:hAnsiTheme="minorHAnsi" w:cstheme="minorHAnsi"/>
          <w:szCs w:val="21"/>
          <w:lang w:val="en" w:eastAsia="en-AU"/>
        </w:rPr>
        <w:t xml:space="preserve"> </w:t>
      </w:r>
      <w:r w:rsidRPr="00C85109">
        <w:rPr>
          <w:rFonts w:asciiTheme="minorHAnsi" w:hAnsiTheme="minorHAnsi" w:cstheme="minorHAnsi"/>
          <w:i/>
          <w:iCs/>
          <w:szCs w:val="21"/>
          <w:lang w:val="en" w:eastAsia="en-AU"/>
        </w:rPr>
        <w:t>Journal of Autism and Developmental Disorders</w:t>
      </w:r>
      <w:r w:rsidRPr="00C85109">
        <w:rPr>
          <w:rFonts w:asciiTheme="minorHAnsi" w:hAnsiTheme="minorHAnsi" w:cstheme="minorHAnsi"/>
          <w:szCs w:val="21"/>
          <w:lang w:val="en" w:eastAsia="en-AU"/>
        </w:rPr>
        <w:t xml:space="preserve">, </w:t>
      </w:r>
      <w:r w:rsidRPr="00C85109">
        <w:rPr>
          <w:rFonts w:asciiTheme="minorHAnsi" w:hAnsiTheme="minorHAnsi" w:cstheme="minorHAnsi"/>
          <w:i/>
          <w:iCs/>
          <w:szCs w:val="21"/>
          <w:lang w:val="en" w:eastAsia="en-AU"/>
        </w:rPr>
        <w:t>46</w:t>
      </w:r>
      <w:r w:rsidR="00BA230C" w:rsidRPr="00C85109">
        <w:rPr>
          <w:rFonts w:asciiTheme="minorHAnsi" w:hAnsiTheme="minorHAnsi" w:cstheme="minorHAnsi"/>
          <w:szCs w:val="21"/>
          <w:lang w:val="en" w:eastAsia="en-AU"/>
        </w:rPr>
        <w:t>(11)</w:t>
      </w:r>
      <w:r w:rsidR="00EF09BC" w:rsidRPr="00C85109">
        <w:rPr>
          <w:rFonts w:asciiTheme="minorHAnsi" w:hAnsiTheme="minorHAnsi" w:cstheme="minorHAnsi"/>
          <w:szCs w:val="21"/>
          <w:lang w:val="en" w:eastAsia="en-AU"/>
        </w:rPr>
        <w:t>,</w:t>
      </w:r>
      <w:r w:rsidRPr="00C85109">
        <w:rPr>
          <w:rFonts w:asciiTheme="minorHAnsi" w:hAnsiTheme="minorHAnsi" w:cstheme="minorHAnsi"/>
          <w:szCs w:val="21"/>
          <w:lang w:val="en" w:eastAsia="en-AU"/>
        </w:rPr>
        <w:t xml:space="preserve"> 3583–3596.</w:t>
      </w:r>
      <w:r w:rsidR="00423CFC" w:rsidRPr="00C85109">
        <w:rPr>
          <w:rFonts w:asciiTheme="minorHAnsi" w:hAnsiTheme="minorHAnsi" w:cstheme="minorHAnsi"/>
          <w:szCs w:val="21"/>
          <w:lang w:val="en" w:eastAsia="en-AU"/>
        </w:rPr>
        <w:t xml:space="preserve"> https://doi.org/10.1007/s10803-016-2894-2</w:t>
      </w:r>
    </w:p>
    <w:p w14:paraId="50E63F8E" w14:textId="0B3419EA" w:rsidR="003E7EE7" w:rsidRPr="00C85109" w:rsidRDefault="003E7EE7" w:rsidP="00CE427B">
      <w:pPr>
        <w:spacing w:before="0" w:after="160" w:line="259" w:lineRule="auto"/>
        <w:ind w:left="851" w:hanging="491"/>
        <w:rPr>
          <w:rFonts w:asciiTheme="minorHAnsi" w:hAnsiTheme="minorHAnsi" w:cstheme="minorHAnsi"/>
          <w:szCs w:val="21"/>
        </w:rPr>
      </w:pPr>
      <w:r w:rsidRPr="00C85109">
        <w:rPr>
          <w:rFonts w:asciiTheme="minorHAnsi" w:hAnsiTheme="minorHAnsi" w:cstheme="minorHAnsi"/>
          <w:szCs w:val="21"/>
        </w:rPr>
        <w:lastRenderedPageBreak/>
        <w:t>Gilson, C.</w:t>
      </w:r>
      <w:r w:rsidR="00D93B8B" w:rsidRPr="00C85109">
        <w:rPr>
          <w:rFonts w:asciiTheme="minorHAnsi" w:hAnsiTheme="minorHAnsi" w:cstheme="minorHAnsi"/>
          <w:szCs w:val="21"/>
        </w:rPr>
        <w:t xml:space="preserve"> B.</w:t>
      </w:r>
      <w:r w:rsidRPr="00C85109">
        <w:rPr>
          <w:rFonts w:asciiTheme="minorHAnsi" w:hAnsiTheme="minorHAnsi" w:cstheme="minorHAnsi"/>
          <w:szCs w:val="21"/>
        </w:rPr>
        <w:t>, Carter, E</w:t>
      </w:r>
      <w:r w:rsidR="00BA5729" w:rsidRPr="00C85109">
        <w:rPr>
          <w:rFonts w:asciiTheme="minorHAnsi" w:hAnsiTheme="minorHAnsi" w:cstheme="minorHAnsi"/>
          <w:szCs w:val="21"/>
        </w:rPr>
        <w:t>. W</w:t>
      </w:r>
      <w:r w:rsidRPr="00C85109">
        <w:rPr>
          <w:rFonts w:asciiTheme="minorHAnsi" w:hAnsiTheme="minorHAnsi" w:cstheme="minorHAnsi"/>
          <w:szCs w:val="21"/>
        </w:rPr>
        <w:t>., Bumble, J.</w:t>
      </w:r>
      <w:r w:rsidR="00BA5729" w:rsidRPr="00C85109">
        <w:rPr>
          <w:rFonts w:asciiTheme="minorHAnsi" w:hAnsiTheme="minorHAnsi" w:cstheme="minorHAnsi"/>
          <w:szCs w:val="21"/>
        </w:rPr>
        <w:t xml:space="preserve"> L.</w:t>
      </w:r>
      <w:r w:rsidRPr="00C85109">
        <w:rPr>
          <w:rFonts w:asciiTheme="minorHAnsi" w:hAnsiTheme="minorHAnsi" w:cstheme="minorHAnsi"/>
          <w:szCs w:val="21"/>
        </w:rPr>
        <w:t>, &amp; Mc</w:t>
      </w:r>
      <w:r w:rsidR="00DC6F4F" w:rsidRPr="00C85109">
        <w:rPr>
          <w:rFonts w:asciiTheme="minorHAnsi" w:hAnsiTheme="minorHAnsi" w:cstheme="minorHAnsi"/>
          <w:szCs w:val="21"/>
        </w:rPr>
        <w:t>M</w:t>
      </w:r>
      <w:r w:rsidRPr="00C85109">
        <w:rPr>
          <w:rFonts w:asciiTheme="minorHAnsi" w:hAnsiTheme="minorHAnsi" w:cstheme="minorHAnsi"/>
          <w:szCs w:val="21"/>
        </w:rPr>
        <w:t>illan, E.</w:t>
      </w:r>
      <w:r w:rsidR="00DC6F4F" w:rsidRPr="00C85109">
        <w:rPr>
          <w:rFonts w:asciiTheme="minorHAnsi" w:hAnsiTheme="minorHAnsi" w:cstheme="minorHAnsi"/>
          <w:szCs w:val="21"/>
        </w:rPr>
        <w:t xml:space="preserve"> D.</w:t>
      </w:r>
      <w:r w:rsidRPr="00C85109">
        <w:rPr>
          <w:rFonts w:asciiTheme="minorHAnsi" w:hAnsiTheme="minorHAnsi" w:cstheme="minorHAnsi"/>
          <w:szCs w:val="21"/>
        </w:rPr>
        <w:t xml:space="preserve"> (2018). Family </w:t>
      </w:r>
      <w:r w:rsidR="00541368" w:rsidRPr="00C85109">
        <w:rPr>
          <w:rFonts w:asciiTheme="minorHAnsi" w:hAnsiTheme="minorHAnsi" w:cstheme="minorHAnsi"/>
          <w:szCs w:val="21"/>
        </w:rPr>
        <w:t>perspectives on integrated employment for adults with intellectual and developmental disabilities.</w:t>
      </w:r>
      <w:r w:rsidRPr="00C85109">
        <w:rPr>
          <w:rFonts w:asciiTheme="minorHAnsi" w:hAnsiTheme="minorHAnsi" w:cstheme="minorHAnsi"/>
          <w:szCs w:val="21"/>
        </w:rPr>
        <w:t xml:space="preserve"> </w:t>
      </w:r>
      <w:r w:rsidRPr="00C85109">
        <w:rPr>
          <w:rFonts w:asciiTheme="minorHAnsi" w:hAnsiTheme="minorHAnsi" w:cstheme="minorHAnsi"/>
          <w:i/>
          <w:iCs/>
          <w:szCs w:val="21"/>
        </w:rPr>
        <w:t>Research and Practice for Persons with Severe Disabilities</w:t>
      </w:r>
      <w:r w:rsidRPr="00C85109">
        <w:rPr>
          <w:rFonts w:asciiTheme="minorHAnsi" w:hAnsiTheme="minorHAnsi" w:cstheme="minorHAnsi"/>
          <w:szCs w:val="21"/>
        </w:rPr>
        <w:t xml:space="preserve">, </w:t>
      </w:r>
      <w:r w:rsidRPr="00C85109">
        <w:rPr>
          <w:rFonts w:asciiTheme="minorHAnsi" w:hAnsiTheme="minorHAnsi" w:cstheme="minorHAnsi"/>
          <w:i/>
          <w:iCs/>
          <w:szCs w:val="21"/>
        </w:rPr>
        <w:t>43</w:t>
      </w:r>
      <w:r w:rsidRPr="00C85109">
        <w:rPr>
          <w:rFonts w:asciiTheme="minorHAnsi" w:hAnsiTheme="minorHAnsi" w:cstheme="minorHAnsi"/>
          <w:szCs w:val="21"/>
        </w:rPr>
        <w:t>(1), 20-37</w:t>
      </w:r>
      <w:r w:rsidR="00541368" w:rsidRPr="00C85109">
        <w:rPr>
          <w:rFonts w:asciiTheme="minorHAnsi" w:hAnsiTheme="minorHAnsi" w:cstheme="minorHAnsi"/>
          <w:szCs w:val="21"/>
        </w:rPr>
        <w:t>.</w:t>
      </w:r>
      <w:r w:rsidR="00886692" w:rsidRPr="00C85109">
        <w:rPr>
          <w:rFonts w:asciiTheme="minorHAnsi" w:hAnsiTheme="minorHAnsi" w:cstheme="minorHAnsi"/>
          <w:szCs w:val="21"/>
        </w:rPr>
        <w:t xml:space="preserve"> https://doi.org/10.1177/1540796917751134</w:t>
      </w:r>
    </w:p>
    <w:p w14:paraId="7E2620C2" w14:textId="70A837D1" w:rsidR="006255CD" w:rsidRDefault="00E35816" w:rsidP="006255CD">
      <w:pPr>
        <w:spacing w:before="0" w:after="160" w:line="259" w:lineRule="auto"/>
        <w:ind w:left="851" w:hanging="491"/>
        <w:rPr>
          <w:rFonts w:asciiTheme="minorHAnsi" w:hAnsiTheme="minorHAnsi" w:cstheme="minorHAnsi"/>
          <w:szCs w:val="21"/>
        </w:rPr>
      </w:pPr>
      <w:r w:rsidRPr="00C85109">
        <w:rPr>
          <w:rFonts w:asciiTheme="minorHAnsi" w:hAnsiTheme="minorHAnsi" w:cstheme="minorHAnsi"/>
          <w:szCs w:val="21"/>
        </w:rPr>
        <w:t xml:space="preserve">Gomes-Machado, M. L., </w:t>
      </w:r>
      <w:proofErr w:type="spellStart"/>
      <w:r w:rsidRPr="00C85109">
        <w:rPr>
          <w:rFonts w:asciiTheme="minorHAnsi" w:hAnsiTheme="minorHAnsi" w:cstheme="minorHAnsi"/>
          <w:szCs w:val="21"/>
        </w:rPr>
        <w:t>Heloisa</w:t>
      </w:r>
      <w:proofErr w:type="spellEnd"/>
      <w:r w:rsidRPr="00C85109">
        <w:rPr>
          <w:rFonts w:asciiTheme="minorHAnsi" w:hAnsiTheme="minorHAnsi" w:cstheme="minorHAnsi"/>
          <w:szCs w:val="21"/>
        </w:rPr>
        <w:t xml:space="preserve"> Santos, F.</w:t>
      </w:r>
      <w:r w:rsidR="00501C9B" w:rsidRPr="00C85109">
        <w:rPr>
          <w:rFonts w:asciiTheme="minorHAnsi" w:hAnsiTheme="minorHAnsi" w:cstheme="minorHAnsi"/>
          <w:szCs w:val="21"/>
        </w:rPr>
        <w:t>,</w:t>
      </w:r>
      <w:r w:rsidRPr="00C85109">
        <w:rPr>
          <w:rFonts w:asciiTheme="minorHAnsi" w:hAnsiTheme="minorHAnsi" w:cstheme="minorHAnsi"/>
          <w:szCs w:val="21"/>
        </w:rPr>
        <w:t xml:space="preserve"> Schoen</w:t>
      </w:r>
      <w:r w:rsidR="00501C9B" w:rsidRPr="00C85109">
        <w:rPr>
          <w:rFonts w:asciiTheme="minorHAnsi" w:hAnsiTheme="minorHAnsi" w:cstheme="minorHAnsi"/>
          <w:szCs w:val="21"/>
        </w:rPr>
        <w:t>, T.,</w:t>
      </w:r>
      <w:r w:rsidRPr="00C85109">
        <w:rPr>
          <w:rFonts w:asciiTheme="minorHAnsi" w:hAnsiTheme="minorHAnsi" w:cstheme="minorHAnsi"/>
          <w:szCs w:val="21"/>
        </w:rPr>
        <w:t xml:space="preserve"> &amp; Chiari, B. (2016). Effects </w:t>
      </w:r>
      <w:r w:rsidR="00C6398F" w:rsidRPr="00C85109">
        <w:rPr>
          <w:rFonts w:asciiTheme="minorHAnsi" w:hAnsiTheme="minorHAnsi" w:cstheme="minorHAnsi"/>
          <w:szCs w:val="21"/>
        </w:rPr>
        <w:t>of vocational training on a group of people with intellectual disabilities.</w:t>
      </w:r>
      <w:r w:rsidRPr="00C85109">
        <w:rPr>
          <w:rFonts w:asciiTheme="minorHAnsi" w:hAnsiTheme="minorHAnsi" w:cstheme="minorHAnsi"/>
          <w:szCs w:val="21"/>
        </w:rPr>
        <w:t xml:space="preserve"> </w:t>
      </w:r>
      <w:r w:rsidRPr="00C85109">
        <w:rPr>
          <w:rFonts w:asciiTheme="minorHAnsi" w:hAnsiTheme="minorHAnsi" w:cstheme="minorHAnsi"/>
          <w:i/>
          <w:iCs/>
          <w:szCs w:val="21"/>
        </w:rPr>
        <w:t>Journal of Policy and Practice in Intellectual Disabilities</w:t>
      </w:r>
      <w:r w:rsidRPr="00C85109">
        <w:rPr>
          <w:rFonts w:asciiTheme="minorHAnsi" w:hAnsiTheme="minorHAnsi" w:cstheme="minorHAnsi"/>
          <w:szCs w:val="21"/>
        </w:rPr>
        <w:t xml:space="preserve">, </w:t>
      </w:r>
      <w:r w:rsidRPr="00C85109">
        <w:rPr>
          <w:rFonts w:asciiTheme="minorHAnsi" w:hAnsiTheme="minorHAnsi" w:cstheme="minorHAnsi"/>
          <w:i/>
          <w:iCs/>
          <w:szCs w:val="21"/>
        </w:rPr>
        <w:t>13</w:t>
      </w:r>
      <w:r w:rsidR="00C6398F" w:rsidRPr="00C85109">
        <w:rPr>
          <w:rFonts w:asciiTheme="minorHAnsi" w:hAnsiTheme="minorHAnsi" w:cstheme="minorHAnsi"/>
          <w:szCs w:val="21"/>
        </w:rPr>
        <w:t>(</w:t>
      </w:r>
      <w:r w:rsidRPr="00C85109">
        <w:rPr>
          <w:rFonts w:asciiTheme="minorHAnsi" w:hAnsiTheme="minorHAnsi" w:cstheme="minorHAnsi"/>
          <w:szCs w:val="21"/>
        </w:rPr>
        <w:t>1</w:t>
      </w:r>
      <w:r w:rsidR="00C6398F" w:rsidRPr="00C85109">
        <w:rPr>
          <w:rFonts w:asciiTheme="minorHAnsi" w:hAnsiTheme="minorHAnsi" w:cstheme="minorHAnsi"/>
          <w:szCs w:val="21"/>
        </w:rPr>
        <w:t>),</w:t>
      </w:r>
      <w:r w:rsidRPr="00C85109">
        <w:rPr>
          <w:rFonts w:asciiTheme="minorHAnsi" w:hAnsiTheme="minorHAnsi" w:cstheme="minorHAnsi"/>
          <w:szCs w:val="21"/>
        </w:rPr>
        <w:t xml:space="preserve"> 33-40.</w:t>
      </w:r>
      <w:r w:rsidR="00CB23A2" w:rsidRPr="00C85109">
        <w:rPr>
          <w:rFonts w:asciiTheme="minorHAnsi" w:hAnsiTheme="minorHAnsi" w:cstheme="minorHAnsi"/>
          <w:szCs w:val="21"/>
        </w:rPr>
        <w:t xml:space="preserve"> </w:t>
      </w:r>
      <w:r w:rsidR="006255CD" w:rsidRPr="006255CD">
        <w:rPr>
          <w:rFonts w:asciiTheme="minorHAnsi" w:hAnsiTheme="minorHAnsi" w:cstheme="minorHAnsi"/>
          <w:szCs w:val="21"/>
        </w:rPr>
        <w:t>https://doi.org/10.1111/jppi.12144</w:t>
      </w:r>
    </w:p>
    <w:p w14:paraId="0514E743" w14:textId="3AA14CC6" w:rsidR="006255CD" w:rsidRPr="006255CD" w:rsidRDefault="006255CD" w:rsidP="006255CD">
      <w:pPr>
        <w:spacing w:before="0" w:after="160" w:line="259" w:lineRule="auto"/>
        <w:ind w:left="851" w:hanging="491"/>
        <w:rPr>
          <w:rFonts w:asciiTheme="minorHAnsi" w:hAnsiTheme="minorHAnsi" w:cstheme="minorHAnsi"/>
          <w:szCs w:val="21"/>
        </w:rPr>
      </w:pPr>
      <w:r w:rsidRPr="0001109A">
        <w:t>Griffin-</w:t>
      </w:r>
      <w:proofErr w:type="spellStart"/>
      <w:r w:rsidRPr="0001109A">
        <w:t>Hammis</w:t>
      </w:r>
      <w:proofErr w:type="spellEnd"/>
      <w:r w:rsidRPr="0001109A">
        <w:t xml:space="preserve"> Associates. (n.d.). Customized Employment. from </w:t>
      </w:r>
      <w:r w:rsidRPr="006255CD">
        <w:t>http://www.griffinhammis.com/customizedemployment.html</w:t>
      </w:r>
    </w:p>
    <w:p w14:paraId="2B16F687" w14:textId="097DD96F" w:rsidR="00E35816" w:rsidRPr="00C85109" w:rsidRDefault="00E35816" w:rsidP="00CE427B">
      <w:pPr>
        <w:spacing w:before="0" w:after="160" w:line="259" w:lineRule="auto"/>
        <w:ind w:left="851" w:hanging="491"/>
        <w:rPr>
          <w:rFonts w:asciiTheme="minorHAnsi" w:hAnsiTheme="minorHAnsi" w:cstheme="minorHAnsi"/>
          <w:szCs w:val="21"/>
        </w:rPr>
      </w:pPr>
      <w:proofErr w:type="spellStart"/>
      <w:r w:rsidRPr="00C85109">
        <w:rPr>
          <w:rFonts w:asciiTheme="minorHAnsi" w:hAnsiTheme="minorHAnsi" w:cstheme="minorHAnsi"/>
          <w:szCs w:val="21"/>
        </w:rPr>
        <w:t>Grigal</w:t>
      </w:r>
      <w:proofErr w:type="spellEnd"/>
      <w:r w:rsidRPr="00C85109">
        <w:rPr>
          <w:rFonts w:asciiTheme="minorHAnsi" w:hAnsiTheme="minorHAnsi" w:cstheme="minorHAnsi"/>
          <w:szCs w:val="21"/>
        </w:rPr>
        <w:t>, M., Hart, D.</w:t>
      </w:r>
      <w:r w:rsidR="00C6398F" w:rsidRPr="00C85109">
        <w:rPr>
          <w:rFonts w:asciiTheme="minorHAnsi" w:hAnsiTheme="minorHAnsi" w:cstheme="minorHAnsi"/>
          <w:szCs w:val="21"/>
        </w:rPr>
        <w:t>,</w:t>
      </w:r>
      <w:r w:rsidRPr="00C85109">
        <w:rPr>
          <w:rFonts w:asciiTheme="minorHAnsi" w:hAnsiTheme="minorHAnsi" w:cstheme="minorHAnsi"/>
          <w:szCs w:val="21"/>
        </w:rPr>
        <w:t xml:space="preserve"> &amp; </w:t>
      </w:r>
      <w:proofErr w:type="spellStart"/>
      <w:r w:rsidRPr="00C85109">
        <w:rPr>
          <w:rFonts w:asciiTheme="minorHAnsi" w:hAnsiTheme="minorHAnsi" w:cstheme="minorHAnsi"/>
          <w:szCs w:val="21"/>
        </w:rPr>
        <w:t>Migliore</w:t>
      </w:r>
      <w:proofErr w:type="spellEnd"/>
      <w:r w:rsidRPr="00C85109">
        <w:rPr>
          <w:rFonts w:asciiTheme="minorHAnsi" w:hAnsiTheme="minorHAnsi" w:cstheme="minorHAnsi"/>
          <w:szCs w:val="21"/>
        </w:rPr>
        <w:t xml:space="preserve">, A. (2011). Comparing the </w:t>
      </w:r>
      <w:r w:rsidR="00C6398F" w:rsidRPr="00C85109">
        <w:rPr>
          <w:rFonts w:asciiTheme="minorHAnsi" w:hAnsiTheme="minorHAnsi" w:cstheme="minorHAnsi"/>
          <w:szCs w:val="21"/>
        </w:rPr>
        <w:t xml:space="preserve">transition planning, postsecondary education, and employment outcomes of students with intellectual and other disabilities. </w:t>
      </w:r>
      <w:r w:rsidRPr="00C85109">
        <w:rPr>
          <w:rFonts w:asciiTheme="minorHAnsi" w:hAnsiTheme="minorHAnsi" w:cstheme="minorHAnsi"/>
          <w:i/>
          <w:iCs/>
          <w:szCs w:val="21"/>
        </w:rPr>
        <w:t xml:space="preserve">Career Development </w:t>
      </w:r>
      <w:r w:rsidR="00F71C78" w:rsidRPr="00C85109">
        <w:rPr>
          <w:rFonts w:asciiTheme="minorHAnsi" w:hAnsiTheme="minorHAnsi" w:cstheme="minorHAnsi"/>
          <w:i/>
          <w:iCs/>
          <w:szCs w:val="21"/>
        </w:rPr>
        <w:t xml:space="preserve">and Transition </w:t>
      </w:r>
      <w:r w:rsidRPr="00C85109">
        <w:rPr>
          <w:rFonts w:asciiTheme="minorHAnsi" w:hAnsiTheme="minorHAnsi" w:cstheme="minorHAnsi"/>
          <w:i/>
          <w:iCs/>
          <w:szCs w:val="21"/>
        </w:rPr>
        <w:t>for Exceptional Individuals</w:t>
      </w:r>
      <w:r w:rsidR="00C6398F" w:rsidRPr="00C85109">
        <w:rPr>
          <w:rFonts w:asciiTheme="minorHAnsi" w:hAnsiTheme="minorHAnsi" w:cstheme="minorHAnsi"/>
          <w:i/>
          <w:iCs/>
          <w:szCs w:val="21"/>
        </w:rPr>
        <w:t>,</w:t>
      </w:r>
      <w:r w:rsidRPr="00C85109">
        <w:rPr>
          <w:rFonts w:asciiTheme="minorHAnsi" w:hAnsiTheme="minorHAnsi" w:cstheme="minorHAnsi"/>
          <w:szCs w:val="21"/>
        </w:rPr>
        <w:t xml:space="preserve"> </w:t>
      </w:r>
      <w:r w:rsidRPr="00C85109">
        <w:rPr>
          <w:rFonts w:asciiTheme="minorHAnsi" w:hAnsiTheme="minorHAnsi" w:cstheme="minorHAnsi"/>
          <w:i/>
          <w:iCs/>
          <w:szCs w:val="21"/>
        </w:rPr>
        <w:t>34</w:t>
      </w:r>
      <w:r w:rsidR="00C6398F" w:rsidRPr="00C85109">
        <w:rPr>
          <w:rFonts w:asciiTheme="minorHAnsi" w:hAnsiTheme="minorHAnsi" w:cstheme="minorHAnsi"/>
          <w:szCs w:val="21"/>
        </w:rPr>
        <w:t>(</w:t>
      </w:r>
      <w:r w:rsidRPr="00C85109">
        <w:rPr>
          <w:rFonts w:asciiTheme="minorHAnsi" w:hAnsiTheme="minorHAnsi" w:cstheme="minorHAnsi"/>
          <w:szCs w:val="21"/>
        </w:rPr>
        <w:t>1</w:t>
      </w:r>
      <w:r w:rsidR="00C6398F" w:rsidRPr="00C85109">
        <w:rPr>
          <w:rFonts w:asciiTheme="minorHAnsi" w:hAnsiTheme="minorHAnsi" w:cstheme="minorHAnsi"/>
          <w:szCs w:val="21"/>
        </w:rPr>
        <w:t>),</w:t>
      </w:r>
      <w:r w:rsidRPr="00C85109">
        <w:rPr>
          <w:rFonts w:asciiTheme="minorHAnsi" w:hAnsiTheme="minorHAnsi" w:cstheme="minorHAnsi"/>
          <w:szCs w:val="21"/>
        </w:rPr>
        <w:t xml:space="preserve"> 4</w:t>
      </w:r>
      <w:r w:rsidR="00C6398F" w:rsidRPr="00C85109">
        <w:rPr>
          <w:rFonts w:asciiTheme="minorHAnsi" w:hAnsiTheme="minorHAnsi" w:cstheme="minorHAnsi"/>
          <w:szCs w:val="21"/>
        </w:rPr>
        <w:t>-</w:t>
      </w:r>
      <w:r w:rsidRPr="00C85109">
        <w:rPr>
          <w:rFonts w:asciiTheme="minorHAnsi" w:hAnsiTheme="minorHAnsi" w:cstheme="minorHAnsi"/>
          <w:szCs w:val="21"/>
        </w:rPr>
        <w:t>17</w:t>
      </w:r>
      <w:r w:rsidR="00C6398F" w:rsidRPr="00C85109">
        <w:rPr>
          <w:rFonts w:asciiTheme="minorHAnsi" w:hAnsiTheme="minorHAnsi" w:cstheme="minorHAnsi"/>
          <w:szCs w:val="21"/>
        </w:rPr>
        <w:t>.</w:t>
      </w:r>
      <w:r w:rsidR="00D36F35" w:rsidRPr="00C85109">
        <w:rPr>
          <w:rFonts w:asciiTheme="minorHAnsi" w:hAnsiTheme="minorHAnsi" w:cstheme="minorHAnsi"/>
          <w:szCs w:val="21"/>
        </w:rPr>
        <w:t xml:space="preserve"> https://doi.org/10.1177/0885728811399091</w:t>
      </w:r>
    </w:p>
    <w:p w14:paraId="500E0DDF" w14:textId="77777777" w:rsidR="00676B3F" w:rsidRPr="00C85109" w:rsidRDefault="00676B3F" w:rsidP="00676B3F">
      <w:pPr>
        <w:autoSpaceDE w:val="0"/>
        <w:autoSpaceDN w:val="0"/>
        <w:adjustRightInd w:val="0"/>
        <w:spacing w:before="0" w:after="120" w:line="276" w:lineRule="auto"/>
        <w:ind w:left="851" w:hanging="491"/>
        <w:rPr>
          <w:rFonts w:asciiTheme="minorHAnsi" w:hAnsiTheme="minorHAnsi" w:cstheme="minorHAnsi"/>
          <w:szCs w:val="21"/>
        </w:rPr>
      </w:pPr>
      <w:proofErr w:type="spellStart"/>
      <w:r w:rsidRPr="00C85109">
        <w:rPr>
          <w:rFonts w:asciiTheme="minorHAnsi" w:hAnsiTheme="minorHAnsi" w:cstheme="minorHAnsi"/>
          <w:szCs w:val="21"/>
        </w:rPr>
        <w:t>Grigal</w:t>
      </w:r>
      <w:proofErr w:type="spellEnd"/>
      <w:r w:rsidRPr="00C85109">
        <w:rPr>
          <w:rFonts w:asciiTheme="minorHAnsi" w:hAnsiTheme="minorHAnsi" w:cstheme="minorHAnsi"/>
          <w:szCs w:val="21"/>
        </w:rPr>
        <w:t xml:space="preserve">, M., Hart, D., </w:t>
      </w:r>
      <w:proofErr w:type="spellStart"/>
      <w:r w:rsidRPr="00C85109">
        <w:rPr>
          <w:rFonts w:asciiTheme="minorHAnsi" w:hAnsiTheme="minorHAnsi" w:cstheme="minorHAnsi"/>
          <w:szCs w:val="21"/>
        </w:rPr>
        <w:t>Papay</w:t>
      </w:r>
      <w:proofErr w:type="spellEnd"/>
      <w:r w:rsidRPr="00C85109">
        <w:rPr>
          <w:rFonts w:asciiTheme="minorHAnsi" w:hAnsiTheme="minorHAnsi" w:cstheme="minorHAnsi"/>
          <w:szCs w:val="21"/>
        </w:rPr>
        <w:t xml:space="preserve">, C., Smith, F., </w:t>
      </w:r>
      <w:proofErr w:type="spellStart"/>
      <w:r w:rsidRPr="00C85109">
        <w:rPr>
          <w:rFonts w:asciiTheme="minorHAnsi" w:hAnsiTheme="minorHAnsi" w:cstheme="minorHAnsi"/>
          <w:szCs w:val="21"/>
        </w:rPr>
        <w:t>Domin</w:t>
      </w:r>
      <w:proofErr w:type="spellEnd"/>
      <w:r w:rsidRPr="00C85109">
        <w:rPr>
          <w:rFonts w:asciiTheme="minorHAnsi" w:hAnsiTheme="minorHAnsi" w:cstheme="minorHAnsi"/>
          <w:szCs w:val="21"/>
        </w:rPr>
        <w:t xml:space="preserve">, D., &amp; </w:t>
      </w:r>
      <w:proofErr w:type="spellStart"/>
      <w:r w:rsidRPr="00C85109">
        <w:rPr>
          <w:rFonts w:asciiTheme="minorHAnsi" w:hAnsiTheme="minorHAnsi" w:cstheme="minorHAnsi"/>
          <w:szCs w:val="21"/>
        </w:rPr>
        <w:t>Lazo</w:t>
      </w:r>
      <w:proofErr w:type="spellEnd"/>
      <w:r w:rsidRPr="00C85109">
        <w:rPr>
          <w:rFonts w:asciiTheme="minorHAnsi" w:hAnsiTheme="minorHAnsi" w:cstheme="minorHAnsi"/>
          <w:szCs w:val="21"/>
        </w:rPr>
        <w:t xml:space="preserve">, R. (2019). </w:t>
      </w:r>
      <w:r w:rsidRPr="00C85109">
        <w:rPr>
          <w:rFonts w:asciiTheme="minorHAnsi" w:hAnsiTheme="minorHAnsi" w:cstheme="minorHAnsi"/>
          <w:i/>
          <w:iCs/>
          <w:szCs w:val="21"/>
        </w:rPr>
        <w:t>Year four annual report of the TPSID model demonstration projects (2018-2019).</w:t>
      </w:r>
      <w:r w:rsidRPr="00C85109">
        <w:rPr>
          <w:rFonts w:asciiTheme="minorHAnsi" w:hAnsiTheme="minorHAnsi" w:cstheme="minorHAnsi"/>
          <w:szCs w:val="21"/>
        </w:rPr>
        <w:t xml:space="preserve"> Institute for Community Inclusion, University of Massachusetts Boston. https://doi.org/10.13140/RG.2.2.11467.54567</w:t>
      </w:r>
    </w:p>
    <w:p w14:paraId="2AFC6878" w14:textId="6C21C6A4" w:rsidR="00E35816" w:rsidRPr="00C85109" w:rsidRDefault="00E35816" w:rsidP="00CE427B">
      <w:pPr>
        <w:spacing w:before="0" w:after="160" w:line="259" w:lineRule="auto"/>
        <w:ind w:left="851" w:hanging="491"/>
        <w:rPr>
          <w:rFonts w:asciiTheme="minorHAnsi" w:hAnsiTheme="minorHAnsi" w:cstheme="minorHAnsi"/>
          <w:szCs w:val="21"/>
        </w:rPr>
      </w:pPr>
      <w:proofErr w:type="spellStart"/>
      <w:r w:rsidRPr="00C85109">
        <w:rPr>
          <w:rFonts w:asciiTheme="minorHAnsi" w:hAnsiTheme="minorHAnsi" w:cstheme="minorHAnsi"/>
          <w:szCs w:val="21"/>
        </w:rPr>
        <w:t>Grigal</w:t>
      </w:r>
      <w:proofErr w:type="spellEnd"/>
      <w:r w:rsidRPr="00C85109">
        <w:rPr>
          <w:rFonts w:asciiTheme="minorHAnsi" w:hAnsiTheme="minorHAnsi" w:cstheme="minorHAnsi"/>
          <w:szCs w:val="21"/>
        </w:rPr>
        <w:t>, M., Hart, D.</w:t>
      </w:r>
      <w:r w:rsidR="00016B9A" w:rsidRPr="00C85109">
        <w:rPr>
          <w:rFonts w:asciiTheme="minorHAnsi" w:hAnsiTheme="minorHAnsi" w:cstheme="minorHAnsi"/>
          <w:szCs w:val="21"/>
        </w:rPr>
        <w:t>,</w:t>
      </w:r>
      <w:r w:rsidRPr="00C85109">
        <w:rPr>
          <w:rFonts w:asciiTheme="minorHAnsi" w:hAnsiTheme="minorHAnsi" w:cstheme="minorHAnsi"/>
          <w:szCs w:val="21"/>
        </w:rPr>
        <w:t xml:space="preserve"> &amp; Weir, C. (2012). A </w:t>
      </w:r>
      <w:r w:rsidR="00C6398F" w:rsidRPr="00C85109">
        <w:rPr>
          <w:rFonts w:asciiTheme="minorHAnsi" w:hAnsiTheme="minorHAnsi" w:cstheme="minorHAnsi"/>
          <w:szCs w:val="21"/>
        </w:rPr>
        <w:t xml:space="preserve">survey of postsecondary education programs for students with intellectual disabilities in the </w:t>
      </w:r>
      <w:r w:rsidRPr="00C85109">
        <w:rPr>
          <w:rFonts w:asciiTheme="minorHAnsi" w:hAnsiTheme="minorHAnsi" w:cstheme="minorHAnsi"/>
          <w:szCs w:val="21"/>
        </w:rPr>
        <w:t>United States</w:t>
      </w:r>
      <w:r w:rsidR="00C6398F" w:rsidRPr="00C85109">
        <w:rPr>
          <w:rFonts w:asciiTheme="minorHAnsi" w:hAnsiTheme="minorHAnsi" w:cstheme="minorHAnsi"/>
          <w:szCs w:val="21"/>
        </w:rPr>
        <w:t>.</w:t>
      </w:r>
      <w:r w:rsidRPr="00C85109">
        <w:rPr>
          <w:rFonts w:asciiTheme="minorHAnsi" w:hAnsiTheme="minorHAnsi" w:cstheme="minorHAnsi"/>
          <w:szCs w:val="21"/>
        </w:rPr>
        <w:t xml:space="preserve"> </w:t>
      </w:r>
      <w:r w:rsidRPr="00C85109">
        <w:rPr>
          <w:rFonts w:asciiTheme="minorHAnsi" w:hAnsiTheme="minorHAnsi" w:cstheme="minorHAnsi"/>
          <w:i/>
          <w:iCs/>
          <w:szCs w:val="21"/>
        </w:rPr>
        <w:t>Journal of Policy and Practice in Intellectual Disabilities</w:t>
      </w:r>
      <w:r w:rsidRPr="00C85109">
        <w:rPr>
          <w:rFonts w:asciiTheme="minorHAnsi" w:hAnsiTheme="minorHAnsi" w:cstheme="minorHAnsi"/>
          <w:szCs w:val="21"/>
        </w:rPr>
        <w:t xml:space="preserve">, </w:t>
      </w:r>
      <w:r w:rsidRPr="00C85109">
        <w:rPr>
          <w:rFonts w:asciiTheme="minorHAnsi" w:hAnsiTheme="minorHAnsi" w:cstheme="minorHAnsi"/>
          <w:i/>
          <w:iCs/>
          <w:szCs w:val="21"/>
        </w:rPr>
        <w:t>9</w:t>
      </w:r>
      <w:r w:rsidR="00C6398F" w:rsidRPr="00C85109">
        <w:rPr>
          <w:rFonts w:asciiTheme="minorHAnsi" w:hAnsiTheme="minorHAnsi" w:cstheme="minorHAnsi"/>
          <w:szCs w:val="21"/>
        </w:rPr>
        <w:t>(</w:t>
      </w:r>
      <w:r w:rsidRPr="00C85109">
        <w:rPr>
          <w:rFonts w:asciiTheme="minorHAnsi" w:hAnsiTheme="minorHAnsi" w:cstheme="minorHAnsi"/>
          <w:szCs w:val="21"/>
        </w:rPr>
        <w:t>4</w:t>
      </w:r>
      <w:r w:rsidR="00C6398F" w:rsidRPr="00C85109">
        <w:rPr>
          <w:rFonts w:asciiTheme="minorHAnsi" w:hAnsiTheme="minorHAnsi" w:cstheme="minorHAnsi"/>
          <w:szCs w:val="21"/>
        </w:rPr>
        <w:t>),</w:t>
      </w:r>
      <w:r w:rsidRPr="00C85109">
        <w:rPr>
          <w:rFonts w:asciiTheme="minorHAnsi" w:hAnsiTheme="minorHAnsi" w:cstheme="minorHAnsi"/>
          <w:szCs w:val="21"/>
        </w:rPr>
        <w:t xml:space="preserve"> 223-233.</w:t>
      </w:r>
      <w:r w:rsidR="00925193" w:rsidRPr="00C85109">
        <w:rPr>
          <w:rFonts w:asciiTheme="minorHAnsi" w:hAnsiTheme="minorHAnsi" w:cstheme="minorHAnsi"/>
          <w:szCs w:val="21"/>
        </w:rPr>
        <w:t xml:space="preserve"> https://doi.org/10.1111/jppi.12012</w:t>
      </w:r>
    </w:p>
    <w:p w14:paraId="64B27DD4" w14:textId="77777777" w:rsidR="00E35816" w:rsidRPr="00C85109" w:rsidRDefault="00E35816" w:rsidP="00CE427B">
      <w:pPr>
        <w:autoSpaceDE w:val="0"/>
        <w:autoSpaceDN w:val="0"/>
        <w:adjustRightInd w:val="0"/>
        <w:spacing w:before="0" w:after="120" w:line="276" w:lineRule="auto"/>
        <w:ind w:left="851" w:hanging="491"/>
        <w:rPr>
          <w:rFonts w:asciiTheme="minorHAnsi" w:hAnsiTheme="minorHAnsi" w:cstheme="minorHAnsi"/>
          <w:szCs w:val="21"/>
        </w:rPr>
      </w:pPr>
      <w:proofErr w:type="spellStart"/>
      <w:r w:rsidRPr="00C85109">
        <w:rPr>
          <w:rFonts w:asciiTheme="minorHAnsi" w:hAnsiTheme="minorHAnsi" w:cstheme="minorHAnsi"/>
          <w:szCs w:val="21"/>
        </w:rPr>
        <w:t>Hagner</w:t>
      </w:r>
      <w:proofErr w:type="spellEnd"/>
      <w:r w:rsidRPr="00C85109">
        <w:rPr>
          <w:rFonts w:asciiTheme="minorHAnsi" w:hAnsiTheme="minorHAnsi" w:cstheme="minorHAnsi"/>
          <w:szCs w:val="21"/>
        </w:rPr>
        <w:t xml:space="preserve">, D., &amp; Davies, T. (2002). “Doing my own thing”: Supported self-employment for individuals with cognitive disabilities. </w:t>
      </w:r>
      <w:r w:rsidRPr="00C85109">
        <w:rPr>
          <w:rFonts w:asciiTheme="minorHAnsi" w:hAnsiTheme="minorHAnsi" w:cstheme="minorHAnsi"/>
          <w:i/>
          <w:iCs/>
          <w:szCs w:val="21"/>
        </w:rPr>
        <w:t>Journal of Vocational Rehabilitation</w:t>
      </w:r>
      <w:r w:rsidRPr="00C85109">
        <w:rPr>
          <w:rFonts w:asciiTheme="minorHAnsi" w:hAnsiTheme="minorHAnsi" w:cstheme="minorHAnsi"/>
          <w:szCs w:val="21"/>
        </w:rPr>
        <w:t xml:space="preserve">, </w:t>
      </w:r>
      <w:r w:rsidRPr="00C85109">
        <w:rPr>
          <w:rFonts w:asciiTheme="minorHAnsi" w:hAnsiTheme="minorHAnsi" w:cstheme="minorHAnsi"/>
          <w:i/>
          <w:iCs/>
          <w:szCs w:val="21"/>
        </w:rPr>
        <w:t>17</w:t>
      </w:r>
      <w:r w:rsidRPr="00C85109">
        <w:rPr>
          <w:rFonts w:asciiTheme="minorHAnsi" w:hAnsiTheme="minorHAnsi" w:cstheme="minorHAnsi"/>
          <w:szCs w:val="21"/>
        </w:rPr>
        <w:t>(2), 65-74.</w:t>
      </w:r>
    </w:p>
    <w:p w14:paraId="2E9216EB" w14:textId="3ECB7F6E" w:rsidR="00E35816" w:rsidRPr="00C85109" w:rsidRDefault="00E35816" w:rsidP="00CE427B">
      <w:pPr>
        <w:autoSpaceDE w:val="0"/>
        <w:autoSpaceDN w:val="0"/>
        <w:adjustRightInd w:val="0"/>
        <w:spacing w:before="0" w:after="120" w:line="276" w:lineRule="auto"/>
        <w:ind w:left="851" w:hanging="491"/>
        <w:rPr>
          <w:rFonts w:asciiTheme="minorHAnsi" w:hAnsiTheme="minorHAnsi" w:cstheme="minorHAnsi"/>
          <w:szCs w:val="21"/>
        </w:rPr>
      </w:pPr>
      <w:bookmarkStart w:id="188" w:name="_Hlk42527606"/>
      <w:r w:rsidRPr="00C85109">
        <w:rPr>
          <w:rFonts w:asciiTheme="minorHAnsi" w:hAnsiTheme="minorHAnsi" w:cstheme="minorHAnsi"/>
          <w:szCs w:val="21"/>
        </w:rPr>
        <w:t>Hall, A.</w:t>
      </w:r>
      <w:r w:rsidR="00DC4DA0" w:rsidRPr="00C85109">
        <w:rPr>
          <w:rFonts w:asciiTheme="minorHAnsi" w:hAnsiTheme="minorHAnsi" w:cstheme="minorHAnsi"/>
          <w:szCs w:val="21"/>
        </w:rPr>
        <w:t xml:space="preserve"> C.</w:t>
      </w:r>
      <w:r w:rsidR="00574695" w:rsidRPr="00C85109">
        <w:rPr>
          <w:rFonts w:asciiTheme="minorHAnsi" w:hAnsiTheme="minorHAnsi" w:cstheme="minorHAnsi"/>
          <w:szCs w:val="21"/>
        </w:rPr>
        <w:t>,</w:t>
      </w:r>
      <w:r w:rsidRPr="00C85109">
        <w:rPr>
          <w:rFonts w:asciiTheme="minorHAnsi" w:hAnsiTheme="minorHAnsi" w:cstheme="minorHAnsi"/>
          <w:szCs w:val="21"/>
        </w:rPr>
        <w:t xml:space="preserve"> Butterworth, J.</w:t>
      </w:r>
      <w:r w:rsidR="00574695" w:rsidRPr="00C85109">
        <w:rPr>
          <w:rFonts w:asciiTheme="minorHAnsi" w:hAnsiTheme="minorHAnsi" w:cstheme="minorHAnsi"/>
          <w:szCs w:val="21"/>
        </w:rPr>
        <w:t>,</w:t>
      </w:r>
      <w:r w:rsidRPr="00C85109">
        <w:rPr>
          <w:rFonts w:asciiTheme="minorHAnsi" w:hAnsiTheme="minorHAnsi" w:cstheme="minorHAnsi"/>
          <w:szCs w:val="21"/>
        </w:rPr>
        <w:t xml:space="preserve"> Winsor, J.</w:t>
      </w:r>
      <w:r w:rsidR="00574695" w:rsidRPr="00C85109">
        <w:rPr>
          <w:rFonts w:asciiTheme="minorHAnsi" w:hAnsiTheme="minorHAnsi" w:cstheme="minorHAnsi"/>
          <w:szCs w:val="21"/>
        </w:rPr>
        <w:t>,</w:t>
      </w:r>
      <w:r w:rsidRPr="00C85109">
        <w:rPr>
          <w:rFonts w:asciiTheme="minorHAnsi" w:hAnsiTheme="minorHAnsi" w:cstheme="minorHAnsi"/>
          <w:szCs w:val="21"/>
        </w:rPr>
        <w:t xml:space="preserve"> Kramer, J.</w:t>
      </w:r>
      <w:r w:rsidR="00574695" w:rsidRPr="00C85109">
        <w:rPr>
          <w:rFonts w:asciiTheme="minorHAnsi" w:hAnsiTheme="minorHAnsi" w:cstheme="minorHAnsi"/>
          <w:szCs w:val="21"/>
        </w:rPr>
        <w:t>,</w:t>
      </w:r>
      <w:r w:rsidRPr="00C85109">
        <w:rPr>
          <w:rFonts w:asciiTheme="minorHAnsi" w:hAnsiTheme="minorHAnsi" w:cstheme="minorHAnsi"/>
          <w:szCs w:val="21"/>
        </w:rPr>
        <w:t xml:space="preserve"> Nye-</w:t>
      </w:r>
      <w:proofErr w:type="spellStart"/>
      <w:r w:rsidRPr="00C85109">
        <w:rPr>
          <w:rFonts w:asciiTheme="minorHAnsi" w:hAnsiTheme="minorHAnsi" w:cstheme="minorHAnsi"/>
          <w:szCs w:val="21"/>
        </w:rPr>
        <w:t>Lengerman</w:t>
      </w:r>
      <w:proofErr w:type="spellEnd"/>
      <w:r w:rsidRPr="00C85109">
        <w:rPr>
          <w:rFonts w:asciiTheme="minorHAnsi" w:hAnsiTheme="minorHAnsi" w:cstheme="minorHAnsi"/>
          <w:szCs w:val="21"/>
        </w:rPr>
        <w:t>, K.</w:t>
      </w:r>
      <w:r w:rsidR="00574695" w:rsidRPr="00C85109">
        <w:rPr>
          <w:rFonts w:asciiTheme="minorHAnsi" w:hAnsiTheme="minorHAnsi" w:cstheme="minorHAnsi"/>
          <w:szCs w:val="21"/>
        </w:rPr>
        <w:t>,</w:t>
      </w:r>
      <w:r w:rsidRPr="00C85109">
        <w:rPr>
          <w:rFonts w:asciiTheme="minorHAnsi" w:hAnsiTheme="minorHAnsi" w:cstheme="minorHAnsi"/>
          <w:szCs w:val="21"/>
        </w:rPr>
        <w:t xml:space="preserve"> </w:t>
      </w:r>
      <w:r w:rsidR="00574695" w:rsidRPr="00C85109">
        <w:rPr>
          <w:rFonts w:asciiTheme="minorHAnsi" w:hAnsiTheme="minorHAnsi" w:cstheme="minorHAnsi"/>
          <w:szCs w:val="21"/>
        </w:rPr>
        <w:t>&amp;</w:t>
      </w:r>
      <w:r w:rsidRPr="00C85109">
        <w:rPr>
          <w:rFonts w:asciiTheme="minorHAnsi" w:hAnsiTheme="minorHAnsi" w:cstheme="minorHAnsi"/>
          <w:szCs w:val="21"/>
        </w:rPr>
        <w:t xml:space="preserve"> Timmons, J. (2018). Building an </w:t>
      </w:r>
      <w:r w:rsidR="000B7714" w:rsidRPr="00C85109">
        <w:rPr>
          <w:rFonts w:asciiTheme="minorHAnsi" w:hAnsiTheme="minorHAnsi" w:cstheme="minorHAnsi"/>
          <w:szCs w:val="21"/>
        </w:rPr>
        <w:t>evidence-based, holistic approach to advancing integrated employment</w:t>
      </w:r>
      <w:r w:rsidR="00574695" w:rsidRPr="00C85109">
        <w:rPr>
          <w:rFonts w:asciiTheme="minorHAnsi" w:hAnsiTheme="minorHAnsi" w:cstheme="minorHAnsi"/>
          <w:szCs w:val="21"/>
        </w:rPr>
        <w:t>.</w:t>
      </w:r>
      <w:r w:rsidRPr="00C85109">
        <w:rPr>
          <w:rFonts w:asciiTheme="minorHAnsi" w:hAnsiTheme="minorHAnsi" w:cstheme="minorHAnsi"/>
          <w:szCs w:val="21"/>
        </w:rPr>
        <w:t xml:space="preserve"> </w:t>
      </w:r>
      <w:r w:rsidRPr="00C85109">
        <w:rPr>
          <w:rFonts w:asciiTheme="minorHAnsi" w:hAnsiTheme="minorHAnsi" w:cstheme="minorHAnsi"/>
          <w:i/>
          <w:iCs/>
          <w:szCs w:val="21"/>
        </w:rPr>
        <w:t>Research and Practice for Persons with Severe Disabilities</w:t>
      </w:r>
      <w:r w:rsidRPr="00C85109">
        <w:rPr>
          <w:rFonts w:asciiTheme="minorHAnsi" w:hAnsiTheme="minorHAnsi" w:cstheme="minorHAnsi"/>
          <w:szCs w:val="21"/>
        </w:rPr>
        <w:t xml:space="preserve">, </w:t>
      </w:r>
      <w:r w:rsidRPr="00C85109">
        <w:rPr>
          <w:rFonts w:asciiTheme="minorHAnsi" w:hAnsiTheme="minorHAnsi" w:cstheme="minorHAnsi"/>
          <w:i/>
          <w:iCs/>
          <w:szCs w:val="21"/>
        </w:rPr>
        <w:t>43</w:t>
      </w:r>
      <w:r w:rsidRPr="00C85109">
        <w:rPr>
          <w:rFonts w:asciiTheme="minorHAnsi" w:hAnsiTheme="minorHAnsi" w:cstheme="minorHAnsi"/>
          <w:szCs w:val="21"/>
        </w:rPr>
        <w:t>(3)</w:t>
      </w:r>
      <w:r w:rsidR="000B7714" w:rsidRPr="00C85109">
        <w:rPr>
          <w:rFonts w:asciiTheme="minorHAnsi" w:hAnsiTheme="minorHAnsi" w:cstheme="minorHAnsi"/>
          <w:szCs w:val="21"/>
        </w:rPr>
        <w:t>,</w:t>
      </w:r>
      <w:r w:rsidRPr="00C85109">
        <w:rPr>
          <w:rFonts w:asciiTheme="minorHAnsi" w:hAnsiTheme="minorHAnsi" w:cstheme="minorHAnsi"/>
          <w:szCs w:val="21"/>
        </w:rPr>
        <w:t xml:space="preserve"> 207</w:t>
      </w:r>
      <w:r w:rsidR="00574695" w:rsidRPr="00C85109">
        <w:rPr>
          <w:rFonts w:asciiTheme="minorHAnsi" w:hAnsiTheme="minorHAnsi" w:cstheme="minorHAnsi"/>
          <w:szCs w:val="21"/>
        </w:rPr>
        <w:t>-</w:t>
      </w:r>
      <w:r w:rsidRPr="00C85109">
        <w:rPr>
          <w:rFonts w:asciiTheme="minorHAnsi" w:hAnsiTheme="minorHAnsi" w:cstheme="minorHAnsi"/>
          <w:szCs w:val="21"/>
        </w:rPr>
        <w:t>218.</w:t>
      </w:r>
      <w:r w:rsidR="00764339" w:rsidRPr="00C85109">
        <w:rPr>
          <w:rFonts w:asciiTheme="minorHAnsi" w:hAnsiTheme="minorHAnsi" w:cstheme="minorHAnsi"/>
          <w:szCs w:val="21"/>
        </w:rPr>
        <w:t xml:space="preserve"> https://doi.org/10.1177/1540796918787503</w:t>
      </w:r>
    </w:p>
    <w:p w14:paraId="3585F43D" w14:textId="4823DC21" w:rsidR="00E35816" w:rsidRPr="00C85109" w:rsidRDefault="00E35816" w:rsidP="00CE427B">
      <w:pPr>
        <w:autoSpaceDE w:val="0"/>
        <w:autoSpaceDN w:val="0"/>
        <w:adjustRightInd w:val="0"/>
        <w:spacing w:before="0" w:after="120" w:line="276" w:lineRule="auto"/>
        <w:ind w:left="851" w:hanging="491"/>
        <w:rPr>
          <w:rFonts w:asciiTheme="minorHAnsi" w:hAnsiTheme="minorHAnsi" w:cstheme="minorHAnsi"/>
          <w:szCs w:val="21"/>
        </w:rPr>
      </w:pPr>
      <w:r w:rsidRPr="00C85109">
        <w:rPr>
          <w:rFonts w:asciiTheme="minorHAnsi" w:hAnsiTheme="minorHAnsi" w:cstheme="minorHAnsi"/>
          <w:szCs w:val="21"/>
        </w:rPr>
        <w:t xml:space="preserve">Hemphill, E., &amp; Kulik, C. T. (2017). The </w:t>
      </w:r>
      <w:r w:rsidR="000B7714" w:rsidRPr="00C85109">
        <w:rPr>
          <w:rFonts w:asciiTheme="minorHAnsi" w:hAnsiTheme="minorHAnsi" w:cstheme="minorHAnsi"/>
          <w:szCs w:val="21"/>
        </w:rPr>
        <w:t>tyranny of fit: Yet another barrier to mainstream employment for disabled people in sheltered employment.</w:t>
      </w:r>
      <w:r w:rsidRPr="00C85109">
        <w:rPr>
          <w:rFonts w:asciiTheme="minorHAnsi" w:hAnsiTheme="minorHAnsi" w:cstheme="minorHAnsi"/>
          <w:szCs w:val="21"/>
        </w:rPr>
        <w:t xml:space="preserve"> </w:t>
      </w:r>
      <w:r w:rsidRPr="00C85109">
        <w:rPr>
          <w:rFonts w:asciiTheme="minorHAnsi" w:hAnsiTheme="minorHAnsi" w:cstheme="minorHAnsi"/>
          <w:i/>
          <w:iCs/>
          <w:szCs w:val="21"/>
        </w:rPr>
        <w:t>Social Policy</w:t>
      </w:r>
      <w:r w:rsidR="004F32BF" w:rsidRPr="00C85109">
        <w:rPr>
          <w:rFonts w:asciiTheme="minorHAnsi" w:hAnsiTheme="minorHAnsi" w:cstheme="minorHAnsi"/>
          <w:i/>
          <w:iCs/>
          <w:szCs w:val="21"/>
        </w:rPr>
        <w:t xml:space="preserve"> &amp;</w:t>
      </w:r>
      <w:r w:rsidRPr="00C85109">
        <w:rPr>
          <w:rFonts w:asciiTheme="minorHAnsi" w:hAnsiTheme="minorHAnsi" w:cstheme="minorHAnsi"/>
          <w:i/>
          <w:iCs/>
          <w:szCs w:val="21"/>
        </w:rPr>
        <w:t xml:space="preserve"> Administration</w:t>
      </w:r>
      <w:r w:rsidRPr="00C85109">
        <w:rPr>
          <w:rFonts w:asciiTheme="minorHAnsi" w:hAnsiTheme="minorHAnsi" w:cstheme="minorHAnsi"/>
          <w:szCs w:val="21"/>
        </w:rPr>
        <w:t xml:space="preserve">, </w:t>
      </w:r>
      <w:r w:rsidRPr="00C85109">
        <w:rPr>
          <w:rFonts w:asciiTheme="minorHAnsi" w:hAnsiTheme="minorHAnsi" w:cstheme="minorHAnsi"/>
          <w:i/>
          <w:iCs/>
          <w:szCs w:val="21"/>
        </w:rPr>
        <w:t>51</w:t>
      </w:r>
      <w:r w:rsidR="000B7714" w:rsidRPr="00C85109">
        <w:rPr>
          <w:rFonts w:asciiTheme="minorHAnsi" w:hAnsiTheme="minorHAnsi" w:cstheme="minorHAnsi"/>
          <w:szCs w:val="21"/>
        </w:rPr>
        <w:t>(</w:t>
      </w:r>
      <w:r w:rsidRPr="00C85109">
        <w:rPr>
          <w:rFonts w:asciiTheme="minorHAnsi" w:hAnsiTheme="minorHAnsi" w:cstheme="minorHAnsi"/>
          <w:szCs w:val="21"/>
        </w:rPr>
        <w:t>7</w:t>
      </w:r>
      <w:r w:rsidR="000B7714" w:rsidRPr="00C85109">
        <w:rPr>
          <w:rFonts w:asciiTheme="minorHAnsi" w:hAnsiTheme="minorHAnsi" w:cstheme="minorHAnsi"/>
          <w:szCs w:val="21"/>
        </w:rPr>
        <w:t>)</w:t>
      </w:r>
      <w:r w:rsidRPr="00C85109">
        <w:rPr>
          <w:rFonts w:asciiTheme="minorHAnsi" w:hAnsiTheme="minorHAnsi" w:cstheme="minorHAnsi"/>
          <w:szCs w:val="21"/>
        </w:rPr>
        <w:t>, 1119-1134.</w:t>
      </w:r>
      <w:r w:rsidR="00DD14E5" w:rsidRPr="00C85109">
        <w:rPr>
          <w:rFonts w:asciiTheme="minorHAnsi" w:hAnsiTheme="minorHAnsi" w:cstheme="minorHAnsi"/>
          <w:szCs w:val="21"/>
        </w:rPr>
        <w:t xml:space="preserve"> https://doi.org/10.1111/spol.12220</w:t>
      </w:r>
    </w:p>
    <w:p w14:paraId="6EF78AD8" w14:textId="45332F19" w:rsidR="00E35816" w:rsidRPr="00C85109" w:rsidRDefault="00E35816" w:rsidP="00CE427B">
      <w:pPr>
        <w:pStyle w:val="EndNoteBibliography"/>
        <w:spacing w:after="120" w:line="276" w:lineRule="auto"/>
        <w:ind w:left="851" w:hanging="491"/>
        <w:rPr>
          <w:rFonts w:asciiTheme="minorHAnsi" w:hAnsiTheme="minorHAnsi" w:cstheme="minorHAnsi"/>
          <w:sz w:val="21"/>
          <w:szCs w:val="21"/>
        </w:rPr>
      </w:pPr>
      <w:bookmarkStart w:id="189" w:name="_Hlk41253243"/>
      <w:bookmarkEnd w:id="188"/>
      <w:r w:rsidRPr="00C85109">
        <w:rPr>
          <w:rFonts w:asciiTheme="minorHAnsi" w:hAnsiTheme="minorHAnsi" w:cstheme="minorHAnsi"/>
          <w:sz w:val="21"/>
          <w:szCs w:val="21"/>
        </w:rPr>
        <w:t xml:space="preserve">Hetherington, S. A., Durant-Jones, L., Johnson, K., Nolan, K., Smith, E., Taylor-Brown, S., &amp; Tuttle, J. (2010). The </w:t>
      </w:r>
      <w:r w:rsidR="004D70F7" w:rsidRPr="00C85109">
        <w:rPr>
          <w:rFonts w:asciiTheme="minorHAnsi" w:hAnsiTheme="minorHAnsi" w:cstheme="minorHAnsi"/>
          <w:sz w:val="21"/>
          <w:szCs w:val="21"/>
        </w:rPr>
        <w:t>lived experiences of adolescents with disabilities and their parents in transition planning</w:t>
      </w:r>
      <w:r w:rsidRPr="00C85109">
        <w:rPr>
          <w:rFonts w:asciiTheme="minorHAnsi" w:hAnsiTheme="minorHAnsi" w:cstheme="minorHAnsi"/>
          <w:sz w:val="21"/>
          <w:szCs w:val="21"/>
        </w:rPr>
        <w:t xml:space="preserve">. </w:t>
      </w:r>
      <w:r w:rsidRPr="00C85109">
        <w:rPr>
          <w:rFonts w:asciiTheme="minorHAnsi" w:hAnsiTheme="minorHAnsi" w:cstheme="minorHAnsi"/>
          <w:i/>
          <w:sz w:val="21"/>
          <w:szCs w:val="21"/>
        </w:rPr>
        <w:t>Focus on Autism and Other Developmental Disabilities, 25</w:t>
      </w:r>
      <w:r w:rsidRPr="00C85109">
        <w:rPr>
          <w:rFonts w:asciiTheme="minorHAnsi" w:hAnsiTheme="minorHAnsi" w:cstheme="minorHAnsi"/>
          <w:sz w:val="21"/>
          <w:szCs w:val="21"/>
        </w:rPr>
        <w:t xml:space="preserve">(3), 163-172. </w:t>
      </w:r>
      <w:r w:rsidR="006A363A" w:rsidRPr="00C85109">
        <w:rPr>
          <w:rFonts w:asciiTheme="minorHAnsi" w:hAnsiTheme="minorHAnsi" w:cstheme="minorHAnsi"/>
          <w:sz w:val="21"/>
          <w:szCs w:val="21"/>
        </w:rPr>
        <w:t>https://doi.org/10.1177/1088357610373760</w:t>
      </w:r>
    </w:p>
    <w:bookmarkEnd w:id="189"/>
    <w:p w14:paraId="5D9951FB" w14:textId="3E4D09DB" w:rsidR="00807FE5" w:rsidRPr="00C85109" w:rsidRDefault="00807FE5" w:rsidP="00CE427B">
      <w:pPr>
        <w:spacing w:before="0" w:after="120" w:line="276" w:lineRule="auto"/>
        <w:ind w:left="851" w:hanging="491"/>
        <w:rPr>
          <w:rFonts w:asciiTheme="minorHAnsi" w:hAnsiTheme="minorHAnsi" w:cstheme="minorHAnsi"/>
          <w:szCs w:val="21"/>
        </w:rPr>
      </w:pPr>
      <w:proofErr w:type="spellStart"/>
      <w:r w:rsidRPr="00C85109">
        <w:rPr>
          <w:rFonts w:asciiTheme="minorHAnsi" w:hAnsiTheme="minorHAnsi" w:cstheme="minorHAnsi"/>
          <w:szCs w:val="21"/>
        </w:rPr>
        <w:t>Holm</w:t>
      </w:r>
      <w:r w:rsidR="00760917" w:rsidRPr="00C85109">
        <w:rPr>
          <w:rFonts w:asciiTheme="minorHAnsi" w:hAnsiTheme="minorHAnsi" w:cstheme="minorHAnsi"/>
          <w:szCs w:val="21"/>
        </w:rPr>
        <w:t>esglen</w:t>
      </w:r>
      <w:proofErr w:type="spellEnd"/>
      <w:r w:rsidR="00760917" w:rsidRPr="00C85109">
        <w:rPr>
          <w:rFonts w:asciiTheme="minorHAnsi" w:hAnsiTheme="minorHAnsi" w:cstheme="minorHAnsi"/>
          <w:szCs w:val="21"/>
        </w:rPr>
        <w:t xml:space="preserve">. (n.d.). </w:t>
      </w:r>
      <w:r w:rsidR="00760917" w:rsidRPr="00C85109">
        <w:rPr>
          <w:rFonts w:asciiTheme="minorHAnsi" w:hAnsiTheme="minorHAnsi" w:cstheme="minorHAnsi"/>
          <w:i/>
          <w:iCs/>
          <w:szCs w:val="21"/>
        </w:rPr>
        <w:t>Student job outcomes on the rise with The Royal Children's Hospital placement program.</w:t>
      </w:r>
      <w:r w:rsidR="00760917" w:rsidRPr="00C85109">
        <w:rPr>
          <w:rFonts w:asciiTheme="minorHAnsi" w:hAnsiTheme="minorHAnsi" w:cstheme="minorHAnsi"/>
          <w:szCs w:val="21"/>
        </w:rPr>
        <w:t xml:space="preserve"> </w:t>
      </w:r>
      <w:r w:rsidR="00B50D7D" w:rsidRPr="00C85109">
        <w:rPr>
          <w:rFonts w:asciiTheme="minorHAnsi" w:hAnsiTheme="minorHAnsi" w:cstheme="minorHAnsi"/>
          <w:szCs w:val="21"/>
        </w:rPr>
        <w:t>https://holmesglen.edu.au/About-Us/News/Student-job-outcomes-on-the-rise-with-The-Royal-Children-s-Hospital-placement-program/</w:t>
      </w:r>
    </w:p>
    <w:p w14:paraId="299673A3" w14:textId="49DDD09F" w:rsidR="00E35816" w:rsidRPr="00C85109" w:rsidRDefault="00E35816" w:rsidP="00CE427B">
      <w:pPr>
        <w:spacing w:before="0" w:after="120" w:line="276" w:lineRule="auto"/>
        <w:ind w:left="851" w:hanging="491"/>
        <w:rPr>
          <w:rFonts w:asciiTheme="minorHAnsi" w:hAnsiTheme="minorHAnsi" w:cstheme="minorHAnsi"/>
          <w:szCs w:val="21"/>
        </w:rPr>
      </w:pPr>
      <w:r w:rsidRPr="00C85109">
        <w:rPr>
          <w:rFonts w:asciiTheme="minorHAnsi" w:hAnsiTheme="minorHAnsi" w:cstheme="minorHAnsi"/>
          <w:szCs w:val="21"/>
        </w:rPr>
        <w:t xml:space="preserve">Holwerda, A., van der Klink, J. J. L., de Boer, M. R., </w:t>
      </w:r>
      <w:proofErr w:type="spellStart"/>
      <w:r w:rsidRPr="00C85109">
        <w:rPr>
          <w:rFonts w:asciiTheme="minorHAnsi" w:hAnsiTheme="minorHAnsi" w:cstheme="minorHAnsi"/>
          <w:szCs w:val="21"/>
        </w:rPr>
        <w:t>Groothoff</w:t>
      </w:r>
      <w:proofErr w:type="spellEnd"/>
      <w:r w:rsidRPr="00C85109">
        <w:rPr>
          <w:rFonts w:asciiTheme="minorHAnsi" w:hAnsiTheme="minorHAnsi" w:cstheme="minorHAnsi"/>
          <w:szCs w:val="21"/>
        </w:rPr>
        <w:t>, J. W., &amp; Brouwer, S. (201</w:t>
      </w:r>
      <w:r w:rsidR="005950A7" w:rsidRPr="00C85109">
        <w:rPr>
          <w:rFonts w:asciiTheme="minorHAnsi" w:hAnsiTheme="minorHAnsi" w:cstheme="minorHAnsi"/>
          <w:szCs w:val="21"/>
        </w:rPr>
        <w:t>3</w:t>
      </w:r>
      <w:r w:rsidRPr="00C85109">
        <w:rPr>
          <w:rFonts w:asciiTheme="minorHAnsi" w:hAnsiTheme="minorHAnsi" w:cstheme="minorHAnsi"/>
          <w:szCs w:val="21"/>
        </w:rPr>
        <w:t xml:space="preserve">). Predictors of sustainable work participation of young adults with developmental disorders. </w:t>
      </w:r>
      <w:r w:rsidRPr="00C85109">
        <w:rPr>
          <w:rFonts w:asciiTheme="minorHAnsi" w:hAnsiTheme="minorHAnsi" w:cstheme="minorHAnsi"/>
          <w:i/>
          <w:iCs/>
          <w:szCs w:val="21"/>
        </w:rPr>
        <w:t>Research in Developmental Disabilities</w:t>
      </w:r>
      <w:r w:rsidRPr="00C85109">
        <w:rPr>
          <w:rFonts w:asciiTheme="minorHAnsi" w:hAnsiTheme="minorHAnsi" w:cstheme="minorHAnsi"/>
          <w:szCs w:val="21"/>
        </w:rPr>
        <w:t>, 34(9), 2753-2763.</w:t>
      </w:r>
      <w:r w:rsidR="00C50B50" w:rsidRPr="00C85109">
        <w:rPr>
          <w:rFonts w:asciiTheme="minorHAnsi" w:hAnsiTheme="minorHAnsi" w:cstheme="minorHAnsi"/>
          <w:szCs w:val="21"/>
        </w:rPr>
        <w:t xml:space="preserve"> https://doi.org/10.1016/j.ridd.2013.05.032</w:t>
      </w:r>
    </w:p>
    <w:p w14:paraId="0BDEEEBD" w14:textId="580338F9" w:rsidR="00E35816" w:rsidRPr="00C85109" w:rsidRDefault="00E35816" w:rsidP="00CE427B">
      <w:pPr>
        <w:autoSpaceDE w:val="0"/>
        <w:autoSpaceDN w:val="0"/>
        <w:adjustRightInd w:val="0"/>
        <w:spacing w:before="0" w:after="120" w:line="276" w:lineRule="auto"/>
        <w:ind w:left="851" w:hanging="491"/>
        <w:rPr>
          <w:rFonts w:asciiTheme="minorHAnsi" w:hAnsiTheme="minorHAnsi" w:cstheme="minorHAnsi"/>
          <w:szCs w:val="21"/>
        </w:rPr>
      </w:pPr>
      <w:bookmarkStart w:id="190" w:name="_Hlk41233842"/>
      <w:r w:rsidRPr="00C85109">
        <w:rPr>
          <w:rFonts w:asciiTheme="minorHAnsi" w:hAnsiTheme="minorHAnsi" w:cstheme="minorHAnsi"/>
          <w:szCs w:val="21"/>
        </w:rPr>
        <w:t xml:space="preserve">Honey, A., Kariuki, M., Emerson, E., &amp; Llewellyn, G. (2014). Employment status transitions among young adults, with and without disability. </w:t>
      </w:r>
      <w:r w:rsidRPr="00C85109">
        <w:rPr>
          <w:rFonts w:asciiTheme="minorHAnsi" w:hAnsiTheme="minorHAnsi" w:cstheme="minorHAnsi"/>
          <w:i/>
          <w:iCs/>
          <w:szCs w:val="21"/>
        </w:rPr>
        <w:t>Australian Journal of Social Issues</w:t>
      </w:r>
      <w:r w:rsidR="004D4E70" w:rsidRPr="00C85109">
        <w:rPr>
          <w:rFonts w:asciiTheme="minorHAnsi" w:hAnsiTheme="minorHAnsi" w:cstheme="minorHAnsi"/>
          <w:i/>
          <w:iCs/>
          <w:szCs w:val="21"/>
        </w:rPr>
        <w:t xml:space="preserve">, </w:t>
      </w:r>
      <w:r w:rsidR="00CD5E1C" w:rsidRPr="00C85109">
        <w:rPr>
          <w:rFonts w:asciiTheme="minorHAnsi" w:hAnsiTheme="minorHAnsi" w:cstheme="minorHAnsi"/>
          <w:i/>
          <w:iCs/>
          <w:szCs w:val="21"/>
        </w:rPr>
        <w:t>49</w:t>
      </w:r>
      <w:r w:rsidRPr="00C85109">
        <w:rPr>
          <w:rFonts w:asciiTheme="minorHAnsi" w:hAnsiTheme="minorHAnsi" w:cstheme="minorHAnsi"/>
          <w:szCs w:val="21"/>
        </w:rPr>
        <w:t>(2), 151</w:t>
      </w:r>
      <w:r w:rsidR="00CD5E1C" w:rsidRPr="00C85109">
        <w:rPr>
          <w:rFonts w:asciiTheme="minorHAnsi" w:hAnsiTheme="minorHAnsi" w:cstheme="minorHAnsi"/>
          <w:szCs w:val="21"/>
        </w:rPr>
        <w:t>-170</w:t>
      </w:r>
      <w:r w:rsidRPr="00C85109">
        <w:rPr>
          <w:rFonts w:asciiTheme="minorHAnsi" w:hAnsiTheme="minorHAnsi" w:cstheme="minorHAnsi"/>
          <w:szCs w:val="21"/>
        </w:rPr>
        <w:t>.</w:t>
      </w:r>
      <w:r w:rsidR="00762B4F" w:rsidRPr="00C85109">
        <w:rPr>
          <w:rFonts w:asciiTheme="minorHAnsi" w:hAnsiTheme="minorHAnsi" w:cstheme="minorHAnsi"/>
          <w:szCs w:val="21"/>
        </w:rPr>
        <w:t xml:space="preserve"> https://doi.org/10.1002/j.1839-4655.2014.tb00306.x</w:t>
      </w:r>
    </w:p>
    <w:p w14:paraId="0EFB49F9" w14:textId="77777777" w:rsidR="008D24CF" w:rsidRPr="00C85109" w:rsidRDefault="008D24CF" w:rsidP="008D24CF">
      <w:pPr>
        <w:pStyle w:val="EndNoteBibliography"/>
        <w:spacing w:after="120" w:line="276" w:lineRule="auto"/>
        <w:ind w:left="851" w:hanging="491"/>
        <w:rPr>
          <w:rFonts w:asciiTheme="minorHAnsi" w:hAnsiTheme="minorHAnsi" w:cstheme="minorHAnsi"/>
          <w:sz w:val="21"/>
          <w:szCs w:val="21"/>
        </w:rPr>
      </w:pPr>
      <w:bookmarkStart w:id="191" w:name="_Hlk41242023"/>
      <w:bookmarkEnd w:id="190"/>
      <w:r w:rsidRPr="00C85109">
        <w:rPr>
          <w:rFonts w:asciiTheme="minorHAnsi" w:hAnsiTheme="minorHAnsi" w:cstheme="minorHAnsi"/>
          <w:sz w:val="21"/>
          <w:szCs w:val="21"/>
        </w:rPr>
        <w:lastRenderedPageBreak/>
        <w:t xml:space="preserve">Inge, K. J., Graham, C. W., Brooks-Lane, N., Wehman, P., &amp; Griffin, C. (2018). Defining customized employment as an evidence-based practice: The results of a focus group study. </w:t>
      </w:r>
      <w:r w:rsidRPr="00C85109">
        <w:rPr>
          <w:rFonts w:asciiTheme="minorHAnsi" w:hAnsiTheme="minorHAnsi" w:cstheme="minorHAnsi"/>
          <w:i/>
          <w:sz w:val="21"/>
          <w:szCs w:val="21"/>
        </w:rPr>
        <w:t>Journal of Vocational Rehabilitation, 48</w:t>
      </w:r>
      <w:r w:rsidRPr="00C85109">
        <w:rPr>
          <w:rFonts w:asciiTheme="minorHAnsi" w:hAnsiTheme="minorHAnsi" w:cstheme="minorHAnsi"/>
          <w:sz w:val="21"/>
          <w:szCs w:val="21"/>
        </w:rPr>
        <w:t>(2), 155-166. https://doi.org/10.3233/JVR-180928</w:t>
      </w:r>
    </w:p>
    <w:p w14:paraId="5636D8E1" w14:textId="49A594C0" w:rsidR="00E35816" w:rsidRPr="00C85109" w:rsidRDefault="00E35816" w:rsidP="00CE427B">
      <w:pPr>
        <w:spacing w:before="0" w:after="120" w:line="276" w:lineRule="auto"/>
        <w:ind w:left="851" w:hanging="491"/>
        <w:rPr>
          <w:rFonts w:asciiTheme="minorHAnsi" w:hAnsiTheme="minorHAnsi" w:cstheme="minorHAnsi"/>
          <w:szCs w:val="21"/>
        </w:rPr>
      </w:pPr>
      <w:bookmarkStart w:id="192" w:name="_Hlk40801062"/>
      <w:bookmarkEnd w:id="191"/>
      <w:r w:rsidRPr="00C85109">
        <w:rPr>
          <w:rFonts w:asciiTheme="minorHAnsi" w:hAnsiTheme="minorHAnsi" w:cstheme="minorHAnsi"/>
          <w:szCs w:val="21"/>
        </w:rPr>
        <w:t>IPS Employment Center</w:t>
      </w:r>
      <w:r w:rsidR="00E43686" w:rsidRPr="00C85109">
        <w:rPr>
          <w:rFonts w:asciiTheme="minorHAnsi" w:hAnsiTheme="minorHAnsi" w:cstheme="minorHAnsi"/>
          <w:szCs w:val="21"/>
        </w:rPr>
        <w:t>. (n.d.).</w:t>
      </w:r>
      <w:r w:rsidR="00E65510" w:rsidRPr="00C85109">
        <w:rPr>
          <w:rFonts w:asciiTheme="minorHAnsi" w:hAnsiTheme="minorHAnsi" w:cstheme="minorHAnsi"/>
          <w:szCs w:val="21"/>
        </w:rPr>
        <w:t xml:space="preserve"> </w:t>
      </w:r>
      <w:r w:rsidR="00E65510" w:rsidRPr="00C85109">
        <w:rPr>
          <w:rFonts w:asciiTheme="minorHAnsi" w:hAnsiTheme="minorHAnsi" w:cstheme="minorHAnsi"/>
          <w:i/>
          <w:iCs/>
          <w:szCs w:val="21"/>
        </w:rPr>
        <w:t>What is IPS?</w:t>
      </w:r>
      <w:r w:rsidRPr="00C85109">
        <w:rPr>
          <w:rFonts w:asciiTheme="minorHAnsi" w:hAnsiTheme="minorHAnsi" w:cstheme="minorHAnsi"/>
          <w:szCs w:val="21"/>
        </w:rPr>
        <w:t xml:space="preserve"> </w:t>
      </w:r>
      <w:hyperlink r:id="rId40" w:history="1">
        <w:r w:rsidRPr="00C85109">
          <w:rPr>
            <w:rStyle w:val="Hyperlink"/>
            <w:rFonts w:asciiTheme="minorHAnsi" w:hAnsiTheme="minorHAnsi" w:cstheme="minorHAnsi"/>
            <w:color w:val="auto"/>
            <w:szCs w:val="21"/>
            <w:u w:val="none"/>
          </w:rPr>
          <w:t>https://ipsworks.org/index.php/what-is-ips/</w:t>
        </w:r>
      </w:hyperlink>
    </w:p>
    <w:p w14:paraId="112B1D66" w14:textId="41AE52ED" w:rsidR="00E35816" w:rsidRPr="00C85109" w:rsidRDefault="00E35816" w:rsidP="00CE427B">
      <w:pPr>
        <w:shd w:val="clear" w:color="auto" w:fill="FFFFFF"/>
        <w:spacing w:before="0" w:after="120" w:line="276" w:lineRule="auto"/>
        <w:ind w:left="851" w:hanging="491"/>
        <w:rPr>
          <w:rFonts w:asciiTheme="minorHAnsi" w:hAnsiTheme="minorHAnsi" w:cstheme="minorHAnsi"/>
          <w:szCs w:val="21"/>
          <w:lang w:val="en" w:eastAsia="en-AU"/>
        </w:rPr>
      </w:pPr>
      <w:r w:rsidRPr="00C85109">
        <w:rPr>
          <w:rFonts w:asciiTheme="minorHAnsi" w:hAnsiTheme="minorHAnsi" w:cstheme="minorHAnsi"/>
          <w:szCs w:val="21"/>
          <w:lang w:val="en" w:eastAsia="en-AU"/>
        </w:rPr>
        <w:t>Jackson, R. (2008)</w:t>
      </w:r>
      <w:r w:rsidR="0022131A" w:rsidRPr="00C85109">
        <w:rPr>
          <w:rFonts w:asciiTheme="minorHAnsi" w:hAnsiTheme="minorHAnsi" w:cstheme="minorHAnsi"/>
          <w:szCs w:val="21"/>
          <w:lang w:val="en" w:eastAsia="en-AU"/>
        </w:rPr>
        <w:t>.</w:t>
      </w:r>
      <w:r w:rsidRPr="00C85109">
        <w:rPr>
          <w:rFonts w:asciiTheme="minorHAnsi" w:hAnsiTheme="minorHAnsi" w:cstheme="minorHAnsi"/>
          <w:szCs w:val="21"/>
          <w:lang w:val="en" w:eastAsia="en-AU"/>
        </w:rPr>
        <w:t xml:space="preserve"> </w:t>
      </w:r>
      <w:r w:rsidRPr="00C85109">
        <w:rPr>
          <w:rFonts w:asciiTheme="minorHAnsi" w:hAnsiTheme="minorHAnsi" w:cstheme="minorHAnsi"/>
          <w:i/>
          <w:szCs w:val="21"/>
          <w:lang w:val="en" w:eastAsia="en-AU"/>
        </w:rPr>
        <w:t xml:space="preserve">Inclusion </w:t>
      </w:r>
      <w:r w:rsidR="00CE0E85" w:rsidRPr="00C85109">
        <w:rPr>
          <w:rFonts w:asciiTheme="minorHAnsi" w:hAnsiTheme="minorHAnsi" w:cstheme="minorHAnsi"/>
          <w:i/>
          <w:szCs w:val="21"/>
          <w:lang w:val="en" w:eastAsia="en-AU"/>
        </w:rPr>
        <w:t>or segregation for children with an intellectual impairment</w:t>
      </w:r>
      <w:r w:rsidRPr="00C85109">
        <w:rPr>
          <w:rFonts w:asciiTheme="minorHAnsi" w:hAnsiTheme="minorHAnsi" w:cstheme="minorHAnsi"/>
          <w:i/>
          <w:szCs w:val="21"/>
          <w:lang w:val="en" w:eastAsia="en-AU"/>
        </w:rPr>
        <w:t xml:space="preserve">: What does </w:t>
      </w:r>
      <w:r w:rsidR="00CE0E85" w:rsidRPr="00C85109">
        <w:rPr>
          <w:rFonts w:asciiTheme="minorHAnsi" w:hAnsiTheme="minorHAnsi" w:cstheme="minorHAnsi"/>
          <w:i/>
          <w:szCs w:val="21"/>
          <w:lang w:val="en" w:eastAsia="en-AU"/>
        </w:rPr>
        <w:t>the research say?</w:t>
      </w:r>
      <w:r w:rsidR="00CE0E85" w:rsidRPr="00C85109">
        <w:rPr>
          <w:rFonts w:asciiTheme="minorHAnsi" w:hAnsiTheme="minorHAnsi" w:cstheme="minorHAnsi"/>
          <w:szCs w:val="21"/>
          <w:lang w:val="en" w:eastAsia="en-AU"/>
        </w:rPr>
        <w:t xml:space="preserve"> </w:t>
      </w:r>
      <w:r w:rsidRPr="00C85109">
        <w:rPr>
          <w:rFonts w:asciiTheme="minorHAnsi" w:hAnsiTheme="minorHAnsi" w:cstheme="minorHAnsi"/>
          <w:szCs w:val="21"/>
          <w:lang w:val="en" w:eastAsia="en-AU"/>
        </w:rPr>
        <w:t>Queensland Parents for People with a Disability</w:t>
      </w:r>
      <w:r w:rsidR="00FE39B7" w:rsidRPr="00C85109">
        <w:rPr>
          <w:rFonts w:asciiTheme="minorHAnsi" w:hAnsiTheme="minorHAnsi" w:cstheme="minorHAnsi"/>
          <w:szCs w:val="21"/>
          <w:lang w:val="en" w:eastAsia="en-AU"/>
        </w:rPr>
        <w:t xml:space="preserve">. </w:t>
      </w:r>
      <w:r w:rsidR="008D24CF" w:rsidRPr="00C85109">
        <w:rPr>
          <w:rFonts w:asciiTheme="minorHAnsi" w:hAnsiTheme="minorHAnsi" w:cstheme="minorHAnsi"/>
          <w:szCs w:val="21"/>
          <w:lang w:val="en" w:eastAsia="en-AU"/>
        </w:rPr>
        <w:t>https://www.ohchr.org/Documents/Issues/Disability/StudyEducation/NGOs/AustraliaNationalCouncilIntellectualDisability2.pdf</w:t>
      </w:r>
    </w:p>
    <w:p w14:paraId="3E139232" w14:textId="4890D39D" w:rsidR="00E35816" w:rsidRPr="00C85109" w:rsidRDefault="00E35816" w:rsidP="00CE427B">
      <w:pPr>
        <w:autoSpaceDE w:val="0"/>
        <w:autoSpaceDN w:val="0"/>
        <w:adjustRightInd w:val="0"/>
        <w:spacing w:before="0" w:after="120" w:line="276" w:lineRule="auto"/>
        <w:ind w:left="851" w:hanging="491"/>
        <w:rPr>
          <w:rFonts w:asciiTheme="minorHAnsi" w:hAnsiTheme="minorHAnsi" w:cstheme="minorHAnsi"/>
          <w:szCs w:val="21"/>
        </w:rPr>
      </w:pPr>
      <w:r w:rsidRPr="00C85109">
        <w:rPr>
          <w:rFonts w:asciiTheme="minorHAnsi" w:hAnsiTheme="minorHAnsi" w:cstheme="minorHAnsi"/>
          <w:szCs w:val="21"/>
        </w:rPr>
        <w:t>Joshi</w:t>
      </w:r>
      <w:r w:rsidR="0022131A" w:rsidRPr="00C85109">
        <w:rPr>
          <w:rFonts w:asciiTheme="minorHAnsi" w:hAnsiTheme="minorHAnsi" w:cstheme="minorHAnsi"/>
          <w:szCs w:val="21"/>
        </w:rPr>
        <w:t>,</w:t>
      </w:r>
      <w:r w:rsidRPr="00C85109">
        <w:rPr>
          <w:rFonts w:asciiTheme="minorHAnsi" w:hAnsiTheme="minorHAnsi" w:cstheme="minorHAnsi"/>
          <w:szCs w:val="21"/>
        </w:rPr>
        <w:t xml:space="preserve"> G</w:t>
      </w:r>
      <w:r w:rsidR="0022131A" w:rsidRPr="00C85109">
        <w:rPr>
          <w:rFonts w:asciiTheme="minorHAnsi" w:hAnsiTheme="minorHAnsi" w:cstheme="minorHAnsi"/>
          <w:szCs w:val="21"/>
        </w:rPr>
        <w:t xml:space="preserve">. </w:t>
      </w:r>
      <w:r w:rsidRPr="00C85109">
        <w:rPr>
          <w:rFonts w:asciiTheme="minorHAnsi" w:hAnsiTheme="minorHAnsi" w:cstheme="minorHAnsi"/>
          <w:szCs w:val="21"/>
        </w:rPr>
        <w:t>S</w:t>
      </w:r>
      <w:r w:rsidR="0022131A" w:rsidRPr="00C85109">
        <w:rPr>
          <w:rFonts w:asciiTheme="minorHAnsi" w:hAnsiTheme="minorHAnsi" w:cstheme="minorHAnsi"/>
          <w:szCs w:val="21"/>
        </w:rPr>
        <w:t>.</w:t>
      </w:r>
      <w:r w:rsidRPr="00C85109">
        <w:rPr>
          <w:rFonts w:asciiTheme="minorHAnsi" w:hAnsiTheme="minorHAnsi" w:cstheme="minorHAnsi"/>
          <w:szCs w:val="21"/>
        </w:rPr>
        <w:t xml:space="preserve">, </w:t>
      </w:r>
      <w:proofErr w:type="spellStart"/>
      <w:r w:rsidRPr="00C85109">
        <w:rPr>
          <w:rFonts w:asciiTheme="minorHAnsi" w:hAnsiTheme="minorHAnsi" w:cstheme="minorHAnsi"/>
          <w:szCs w:val="21"/>
        </w:rPr>
        <w:t>Bouck</w:t>
      </w:r>
      <w:proofErr w:type="spellEnd"/>
      <w:r w:rsidR="0022131A" w:rsidRPr="00C85109">
        <w:rPr>
          <w:rFonts w:asciiTheme="minorHAnsi" w:hAnsiTheme="minorHAnsi" w:cstheme="minorHAnsi"/>
          <w:szCs w:val="21"/>
        </w:rPr>
        <w:t>,</w:t>
      </w:r>
      <w:r w:rsidRPr="00C85109">
        <w:rPr>
          <w:rFonts w:asciiTheme="minorHAnsi" w:hAnsiTheme="minorHAnsi" w:cstheme="minorHAnsi"/>
          <w:szCs w:val="21"/>
        </w:rPr>
        <w:t xml:space="preserve"> E</w:t>
      </w:r>
      <w:r w:rsidR="0022131A" w:rsidRPr="00C85109">
        <w:rPr>
          <w:rFonts w:asciiTheme="minorHAnsi" w:hAnsiTheme="minorHAnsi" w:cstheme="minorHAnsi"/>
          <w:szCs w:val="21"/>
        </w:rPr>
        <w:t xml:space="preserve">. </w:t>
      </w:r>
      <w:r w:rsidRPr="00C85109">
        <w:rPr>
          <w:rFonts w:asciiTheme="minorHAnsi" w:hAnsiTheme="minorHAnsi" w:cstheme="minorHAnsi"/>
          <w:szCs w:val="21"/>
        </w:rPr>
        <w:t>C</w:t>
      </w:r>
      <w:r w:rsidR="0022131A" w:rsidRPr="00C85109">
        <w:rPr>
          <w:rFonts w:asciiTheme="minorHAnsi" w:hAnsiTheme="minorHAnsi" w:cstheme="minorHAnsi"/>
          <w:szCs w:val="21"/>
        </w:rPr>
        <w:t>.</w:t>
      </w:r>
      <w:r w:rsidRPr="00C85109">
        <w:rPr>
          <w:rFonts w:asciiTheme="minorHAnsi" w:hAnsiTheme="minorHAnsi" w:cstheme="minorHAnsi"/>
          <w:szCs w:val="21"/>
        </w:rPr>
        <w:t>,</w:t>
      </w:r>
      <w:r w:rsidR="00FE663C" w:rsidRPr="00C85109">
        <w:rPr>
          <w:rFonts w:asciiTheme="minorHAnsi" w:hAnsiTheme="minorHAnsi" w:cstheme="minorHAnsi"/>
          <w:szCs w:val="21"/>
        </w:rPr>
        <w:t xml:space="preserve"> &amp;</w:t>
      </w:r>
      <w:r w:rsidRPr="00C85109">
        <w:rPr>
          <w:rFonts w:asciiTheme="minorHAnsi" w:hAnsiTheme="minorHAnsi" w:cstheme="minorHAnsi"/>
          <w:szCs w:val="21"/>
        </w:rPr>
        <w:t xml:space="preserve"> Maeda</w:t>
      </w:r>
      <w:r w:rsidR="0022131A" w:rsidRPr="00C85109">
        <w:rPr>
          <w:rFonts w:asciiTheme="minorHAnsi" w:hAnsiTheme="minorHAnsi" w:cstheme="minorHAnsi"/>
          <w:szCs w:val="21"/>
        </w:rPr>
        <w:t>,</w:t>
      </w:r>
      <w:r w:rsidRPr="00C85109">
        <w:rPr>
          <w:rFonts w:asciiTheme="minorHAnsi" w:hAnsiTheme="minorHAnsi" w:cstheme="minorHAnsi"/>
          <w:szCs w:val="21"/>
        </w:rPr>
        <w:t xml:space="preserve"> Y. (2012)</w:t>
      </w:r>
      <w:r w:rsidR="00FE663C" w:rsidRPr="00C85109">
        <w:rPr>
          <w:rFonts w:asciiTheme="minorHAnsi" w:hAnsiTheme="minorHAnsi" w:cstheme="minorHAnsi"/>
          <w:szCs w:val="21"/>
        </w:rPr>
        <w:t>.</w:t>
      </w:r>
      <w:r w:rsidRPr="00C85109">
        <w:rPr>
          <w:rFonts w:asciiTheme="minorHAnsi" w:hAnsiTheme="minorHAnsi" w:cstheme="minorHAnsi"/>
          <w:szCs w:val="21"/>
        </w:rPr>
        <w:t xml:space="preserve"> Exploring employment preparation and postschool outcomes for students with mild intellectual disability. </w:t>
      </w:r>
      <w:r w:rsidR="00D66128" w:rsidRPr="00C85109">
        <w:rPr>
          <w:rFonts w:asciiTheme="minorHAnsi" w:hAnsiTheme="minorHAnsi" w:cstheme="minorHAnsi"/>
          <w:i/>
          <w:szCs w:val="21"/>
        </w:rPr>
        <w:t xml:space="preserve">Career Development </w:t>
      </w:r>
      <w:r w:rsidR="00690841" w:rsidRPr="00C85109">
        <w:rPr>
          <w:rFonts w:asciiTheme="minorHAnsi" w:hAnsiTheme="minorHAnsi" w:cstheme="minorHAnsi"/>
          <w:i/>
          <w:szCs w:val="21"/>
        </w:rPr>
        <w:t xml:space="preserve">and Transition </w:t>
      </w:r>
      <w:r w:rsidR="00D66128" w:rsidRPr="00C85109">
        <w:rPr>
          <w:rFonts w:asciiTheme="minorHAnsi" w:hAnsiTheme="minorHAnsi" w:cstheme="minorHAnsi"/>
          <w:i/>
          <w:szCs w:val="21"/>
        </w:rPr>
        <w:t>for Exceptional Individuals,</w:t>
      </w:r>
      <w:r w:rsidRPr="00C85109">
        <w:rPr>
          <w:rFonts w:asciiTheme="minorHAnsi" w:hAnsiTheme="minorHAnsi" w:cstheme="minorHAnsi"/>
          <w:szCs w:val="21"/>
        </w:rPr>
        <w:t xml:space="preserve"> </w:t>
      </w:r>
      <w:r w:rsidRPr="00C85109">
        <w:rPr>
          <w:rFonts w:asciiTheme="minorHAnsi" w:hAnsiTheme="minorHAnsi" w:cstheme="minorHAnsi"/>
          <w:i/>
          <w:iCs/>
          <w:szCs w:val="21"/>
        </w:rPr>
        <w:t>35</w:t>
      </w:r>
      <w:r w:rsidRPr="00C85109">
        <w:rPr>
          <w:rFonts w:asciiTheme="minorHAnsi" w:hAnsiTheme="minorHAnsi" w:cstheme="minorHAnsi"/>
          <w:szCs w:val="21"/>
        </w:rPr>
        <w:t>(2)</w:t>
      </w:r>
      <w:r w:rsidR="00FE663C" w:rsidRPr="00C85109">
        <w:rPr>
          <w:rFonts w:asciiTheme="minorHAnsi" w:hAnsiTheme="minorHAnsi" w:cstheme="minorHAnsi"/>
          <w:szCs w:val="21"/>
        </w:rPr>
        <w:t xml:space="preserve">, </w:t>
      </w:r>
      <w:r w:rsidRPr="00C85109">
        <w:rPr>
          <w:rFonts w:asciiTheme="minorHAnsi" w:hAnsiTheme="minorHAnsi" w:cstheme="minorHAnsi"/>
          <w:szCs w:val="21"/>
        </w:rPr>
        <w:t>97</w:t>
      </w:r>
      <w:r w:rsidR="00FE663C" w:rsidRPr="00C85109">
        <w:rPr>
          <w:rFonts w:asciiTheme="minorHAnsi" w:hAnsiTheme="minorHAnsi" w:cstheme="minorHAnsi"/>
          <w:szCs w:val="21"/>
        </w:rPr>
        <w:t>-</w:t>
      </w:r>
      <w:r w:rsidRPr="00C85109">
        <w:rPr>
          <w:rFonts w:asciiTheme="minorHAnsi" w:hAnsiTheme="minorHAnsi" w:cstheme="minorHAnsi"/>
          <w:szCs w:val="21"/>
        </w:rPr>
        <w:t>107.</w:t>
      </w:r>
      <w:r w:rsidR="00A83A47" w:rsidRPr="00C85109">
        <w:rPr>
          <w:rFonts w:asciiTheme="minorHAnsi" w:hAnsiTheme="minorHAnsi" w:cstheme="minorHAnsi"/>
          <w:szCs w:val="21"/>
        </w:rPr>
        <w:t xml:space="preserve"> https://doi.org/10.1177/0885728811433822</w:t>
      </w:r>
    </w:p>
    <w:bookmarkEnd w:id="192"/>
    <w:p w14:paraId="0FDC4E3A" w14:textId="4EFDF415" w:rsidR="00E35816" w:rsidRPr="00C85109" w:rsidRDefault="00E35816" w:rsidP="00CE427B">
      <w:pPr>
        <w:pStyle w:val="EndNoteBibliography"/>
        <w:spacing w:after="120" w:line="276" w:lineRule="auto"/>
        <w:ind w:left="851" w:hanging="491"/>
        <w:rPr>
          <w:rFonts w:asciiTheme="minorHAnsi" w:hAnsiTheme="minorHAnsi" w:cstheme="minorHAnsi"/>
          <w:sz w:val="21"/>
          <w:szCs w:val="21"/>
        </w:rPr>
      </w:pPr>
      <w:r w:rsidRPr="00C85109">
        <w:rPr>
          <w:rFonts w:asciiTheme="minorHAnsi" w:hAnsiTheme="minorHAnsi" w:cstheme="minorHAnsi"/>
          <w:sz w:val="21"/>
          <w:szCs w:val="21"/>
        </w:rPr>
        <w:t xml:space="preserve">Kaehne, A., &amp; Beyer, S. (2013). Supported employment for young people with intellectual disabilities facilitated through peer support: A pilot study. </w:t>
      </w:r>
      <w:r w:rsidRPr="00C85109">
        <w:rPr>
          <w:rFonts w:asciiTheme="minorHAnsi" w:hAnsiTheme="minorHAnsi" w:cstheme="minorHAnsi"/>
          <w:i/>
          <w:sz w:val="21"/>
          <w:szCs w:val="21"/>
        </w:rPr>
        <w:t>Journal of Intellectual Disabilities, 17</w:t>
      </w:r>
      <w:r w:rsidRPr="00C85109">
        <w:rPr>
          <w:rFonts w:asciiTheme="minorHAnsi" w:hAnsiTheme="minorHAnsi" w:cstheme="minorHAnsi"/>
          <w:sz w:val="21"/>
          <w:szCs w:val="21"/>
        </w:rPr>
        <w:t>(3), 236</w:t>
      </w:r>
      <w:r w:rsidR="00883C4B" w:rsidRPr="00C85109">
        <w:rPr>
          <w:rFonts w:asciiTheme="minorHAnsi" w:hAnsiTheme="minorHAnsi" w:cstheme="minorHAnsi"/>
          <w:sz w:val="21"/>
          <w:szCs w:val="21"/>
        </w:rPr>
        <w:t>-251</w:t>
      </w:r>
      <w:r w:rsidRPr="00C85109">
        <w:rPr>
          <w:rFonts w:asciiTheme="minorHAnsi" w:hAnsiTheme="minorHAnsi" w:cstheme="minorHAnsi"/>
          <w:sz w:val="21"/>
          <w:szCs w:val="21"/>
        </w:rPr>
        <w:t xml:space="preserve">. </w:t>
      </w:r>
      <w:r w:rsidR="00D17E30" w:rsidRPr="00C85109">
        <w:rPr>
          <w:rFonts w:asciiTheme="minorHAnsi" w:hAnsiTheme="minorHAnsi" w:cstheme="minorHAnsi"/>
          <w:sz w:val="21"/>
          <w:szCs w:val="21"/>
        </w:rPr>
        <w:t>https://doi.org/10.1177/1744629513495265</w:t>
      </w:r>
    </w:p>
    <w:p w14:paraId="07F993AE" w14:textId="00D56E4D" w:rsidR="00A2166A" w:rsidRPr="00C85109" w:rsidRDefault="00A2166A" w:rsidP="00A2166A">
      <w:pPr>
        <w:autoSpaceDE w:val="0"/>
        <w:autoSpaceDN w:val="0"/>
        <w:adjustRightInd w:val="0"/>
        <w:spacing w:before="0" w:after="120" w:line="276" w:lineRule="auto"/>
        <w:ind w:left="851" w:hanging="491"/>
        <w:rPr>
          <w:rFonts w:asciiTheme="minorHAnsi" w:hAnsiTheme="minorHAnsi" w:cstheme="minorHAnsi"/>
          <w:szCs w:val="21"/>
        </w:rPr>
      </w:pPr>
      <w:bookmarkStart w:id="193" w:name="_Hlk41235540"/>
      <w:proofErr w:type="spellStart"/>
      <w:r w:rsidRPr="00C85109">
        <w:rPr>
          <w:rFonts w:asciiTheme="minorHAnsi" w:hAnsiTheme="minorHAnsi" w:cstheme="minorHAnsi"/>
          <w:szCs w:val="21"/>
        </w:rPr>
        <w:t>Kamerade</w:t>
      </w:r>
      <w:proofErr w:type="spellEnd"/>
      <w:r w:rsidRPr="00C85109">
        <w:rPr>
          <w:rFonts w:asciiTheme="minorHAnsi" w:hAnsiTheme="minorHAnsi" w:cstheme="minorHAnsi"/>
          <w:szCs w:val="21"/>
        </w:rPr>
        <w:t xml:space="preserve">, D., Wang, S., Burchell, B., </w:t>
      </w:r>
      <w:proofErr w:type="spellStart"/>
      <w:r w:rsidRPr="00C85109">
        <w:rPr>
          <w:rFonts w:asciiTheme="minorHAnsi" w:hAnsiTheme="minorHAnsi" w:cstheme="minorHAnsi"/>
          <w:szCs w:val="21"/>
        </w:rPr>
        <w:t>Balderson</w:t>
      </w:r>
      <w:proofErr w:type="spellEnd"/>
      <w:r w:rsidRPr="00C85109">
        <w:rPr>
          <w:rFonts w:asciiTheme="minorHAnsi" w:hAnsiTheme="minorHAnsi" w:cstheme="minorHAnsi"/>
          <w:szCs w:val="21"/>
        </w:rPr>
        <w:t>, S.</w:t>
      </w:r>
      <w:r w:rsidR="0078653B" w:rsidRPr="00C85109">
        <w:rPr>
          <w:rFonts w:asciiTheme="minorHAnsi" w:hAnsiTheme="minorHAnsi" w:cstheme="minorHAnsi"/>
          <w:szCs w:val="21"/>
        </w:rPr>
        <w:t xml:space="preserve"> U.</w:t>
      </w:r>
      <w:r w:rsidRPr="00C85109">
        <w:rPr>
          <w:rFonts w:asciiTheme="minorHAnsi" w:hAnsiTheme="minorHAnsi" w:cstheme="minorHAnsi"/>
          <w:szCs w:val="21"/>
        </w:rPr>
        <w:t xml:space="preserve">, &amp; Coutts, A. (2019). A shorter working week for everyone: How much paid work is needed for mental health and well-being? </w:t>
      </w:r>
      <w:r w:rsidRPr="00C85109">
        <w:rPr>
          <w:rFonts w:asciiTheme="minorHAnsi" w:hAnsiTheme="minorHAnsi" w:cstheme="minorHAnsi"/>
          <w:i/>
          <w:iCs/>
          <w:szCs w:val="21"/>
        </w:rPr>
        <w:t>Social Science &amp; Medicine, 241</w:t>
      </w:r>
      <w:r w:rsidRPr="00C85109">
        <w:rPr>
          <w:rFonts w:asciiTheme="minorHAnsi" w:hAnsiTheme="minorHAnsi" w:cstheme="minorHAnsi"/>
          <w:szCs w:val="21"/>
        </w:rPr>
        <w:t xml:space="preserve">, </w:t>
      </w:r>
      <w:r w:rsidR="00025281" w:rsidRPr="00C85109">
        <w:rPr>
          <w:rFonts w:asciiTheme="minorHAnsi" w:hAnsiTheme="minorHAnsi" w:cstheme="minorHAnsi"/>
          <w:szCs w:val="21"/>
        </w:rPr>
        <w:t>Article 112353.</w:t>
      </w:r>
      <w:r w:rsidR="00802DC3" w:rsidRPr="00C85109">
        <w:rPr>
          <w:rFonts w:asciiTheme="minorHAnsi" w:hAnsiTheme="minorHAnsi" w:cstheme="minorHAnsi"/>
          <w:szCs w:val="21"/>
        </w:rPr>
        <w:t xml:space="preserve"> https://doi.org/10.1016/j.socscimed.2019.06.006</w:t>
      </w:r>
    </w:p>
    <w:p w14:paraId="3E2C3817" w14:textId="1C758740" w:rsidR="00E35816" w:rsidRPr="00C85109" w:rsidRDefault="00E35816" w:rsidP="00CE427B">
      <w:pPr>
        <w:autoSpaceDE w:val="0"/>
        <w:autoSpaceDN w:val="0"/>
        <w:adjustRightInd w:val="0"/>
        <w:spacing w:before="0" w:after="120" w:line="276" w:lineRule="auto"/>
        <w:ind w:left="851" w:hanging="491"/>
        <w:rPr>
          <w:rFonts w:asciiTheme="minorHAnsi" w:hAnsiTheme="minorHAnsi" w:cstheme="minorHAnsi"/>
          <w:szCs w:val="21"/>
        </w:rPr>
      </w:pPr>
      <w:r w:rsidRPr="00C85109">
        <w:rPr>
          <w:rFonts w:asciiTheme="minorHAnsi" w:hAnsiTheme="minorHAnsi" w:cstheme="minorHAnsi"/>
          <w:szCs w:val="21"/>
        </w:rPr>
        <w:t>Kavanagh, A.</w:t>
      </w:r>
      <w:r w:rsidR="00552E73" w:rsidRPr="00C85109">
        <w:rPr>
          <w:rFonts w:asciiTheme="minorHAnsi" w:hAnsiTheme="minorHAnsi" w:cstheme="minorHAnsi"/>
          <w:szCs w:val="21"/>
        </w:rPr>
        <w:t xml:space="preserve"> </w:t>
      </w:r>
      <w:r w:rsidRPr="00C85109">
        <w:rPr>
          <w:rFonts w:asciiTheme="minorHAnsi" w:hAnsiTheme="minorHAnsi" w:cstheme="minorHAnsi"/>
          <w:szCs w:val="21"/>
        </w:rPr>
        <w:t xml:space="preserve">M., </w:t>
      </w:r>
      <w:proofErr w:type="spellStart"/>
      <w:r w:rsidRPr="00C85109">
        <w:rPr>
          <w:rFonts w:asciiTheme="minorHAnsi" w:hAnsiTheme="minorHAnsi" w:cstheme="minorHAnsi"/>
          <w:szCs w:val="21"/>
        </w:rPr>
        <w:t>Krnjacki</w:t>
      </w:r>
      <w:proofErr w:type="spellEnd"/>
      <w:r w:rsidRPr="00C85109">
        <w:rPr>
          <w:rFonts w:asciiTheme="minorHAnsi" w:hAnsiTheme="minorHAnsi" w:cstheme="minorHAnsi"/>
          <w:szCs w:val="21"/>
        </w:rPr>
        <w:t>, L., Beer, A.</w:t>
      </w:r>
      <w:r w:rsidR="00D54616" w:rsidRPr="00C85109">
        <w:rPr>
          <w:rFonts w:asciiTheme="minorHAnsi" w:hAnsiTheme="minorHAnsi" w:cstheme="minorHAnsi"/>
          <w:szCs w:val="21"/>
        </w:rPr>
        <w:t>, Lamontagne, A. D.,</w:t>
      </w:r>
      <w:r w:rsidR="00231575" w:rsidRPr="00C85109">
        <w:rPr>
          <w:rFonts w:asciiTheme="minorHAnsi" w:hAnsiTheme="minorHAnsi" w:cstheme="minorHAnsi"/>
          <w:szCs w:val="21"/>
        </w:rPr>
        <w:t xml:space="preserve"> &amp; Bentley, R. (2013).</w:t>
      </w:r>
      <w:r w:rsidRPr="00C85109">
        <w:rPr>
          <w:rFonts w:asciiTheme="minorHAnsi" w:hAnsiTheme="minorHAnsi" w:cstheme="minorHAnsi"/>
          <w:szCs w:val="21"/>
        </w:rPr>
        <w:t xml:space="preserve"> Time trends in socio-economic inequalities for women and men with disabilities in Australia: </w:t>
      </w:r>
      <w:r w:rsidR="00D97AA1" w:rsidRPr="00C85109">
        <w:rPr>
          <w:rFonts w:asciiTheme="minorHAnsi" w:hAnsiTheme="minorHAnsi" w:cstheme="minorHAnsi"/>
          <w:szCs w:val="21"/>
        </w:rPr>
        <w:t>E</w:t>
      </w:r>
      <w:r w:rsidRPr="00C85109">
        <w:rPr>
          <w:rFonts w:asciiTheme="minorHAnsi" w:hAnsiTheme="minorHAnsi" w:cstheme="minorHAnsi"/>
          <w:szCs w:val="21"/>
        </w:rPr>
        <w:t xml:space="preserve">vidence of persisting inequalities. </w:t>
      </w:r>
      <w:r w:rsidR="00A26928" w:rsidRPr="00C85109">
        <w:rPr>
          <w:rFonts w:asciiTheme="minorHAnsi" w:hAnsiTheme="minorHAnsi" w:cstheme="minorHAnsi"/>
          <w:i/>
          <w:iCs/>
          <w:szCs w:val="21"/>
        </w:rPr>
        <w:t>International Journal for Equity in Health</w:t>
      </w:r>
      <w:r w:rsidR="00B422C2" w:rsidRPr="00C85109">
        <w:rPr>
          <w:rFonts w:asciiTheme="minorHAnsi" w:hAnsiTheme="minorHAnsi" w:cstheme="minorHAnsi"/>
          <w:i/>
          <w:iCs/>
          <w:szCs w:val="21"/>
        </w:rPr>
        <w:t>,</w:t>
      </w:r>
      <w:r w:rsidR="00A26928" w:rsidRPr="00C85109">
        <w:rPr>
          <w:rFonts w:asciiTheme="minorHAnsi" w:hAnsiTheme="minorHAnsi" w:cstheme="minorHAnsi"/>
          <w:i/>
          <w:iCs/>
          <w:szCs w:val="21"/>
        </w:rPr>
        <w:t xml:space="preserve"> 12</w:t>
      </w:r>
      <w:r w:rsidR="00A26928" w:rsidRPr="00C85109">
        <w:rPr>
          <w:rFonts w:asciiTheme="minorHAnsi" w:hAnsiTheme="minorHAnsi" w:cstheme="minorHAnsi"/>
          <w:szCs w:val="21"/>
        </w:rPr>
        <w:t>(1)</w:t>
      </w:r>
      <w:r w:rsidR="00C87D8A" w:rsidRPr="00C85109">
        <w:rPr>
          <w:rFonts w:asciiTheme="minorHAnsi" w:hAnsiTheme="minorHAnsi" w:cstheme="minorHAnsi"/>
          <w:szCs w:val="21"/>
        </w:rPr>
        <w:t xml:space="preserve">, Article 73. </w:t>
      </w:r>
      <w:hyperlink r:id="rId41" w:history="1">
        <w:r w:rsidRPr="00C85109">
          <w:rPr>
            <w:rStyle w:val="Hyperlink"/>
            <w:rFonts w:asciiTheme="minorHAnsi" w:hAnsiTheme="minorHAnsi" w:cstheme="minorHAnsi"/>
            <w:color w:val="auto"/>
            <w:szCs w:val="21"/>
            <w:u w:val="none"/>
          </w:rPr>
          <w:t>https://doi.org/10.1186/1475-9276-12-73</w:t>
        </w:r>
      </w:hyperlink>
    </w:p>
    <w:bookmarkEnd w:id="193"/>
    <w:p w14:paraId="41709F19" w14:textId="303EA247" w:rsidR="00E35816" w:rsidRPr="00C85109" w:rsidRDefault="00E35816" w:rsidP="00CE427B">
      <w:pPr>
        <w:pStyle w:val="EndNoteBibliography"/>
        <w:spacing w:after="120" w:line="276" w:lineRule="auto"/>
        <w:ind w:left="851" w:hanging="491"/>
        <w:rPr>
          <w:rFonts w:asciiTheme="minorHAnsi" w:hAnsiTheme="minorHAnsi" w:cstheme="minorHAnsi"/>
          <w:sz w:val="21"/>
          <w:szCs w:val="21"/>
        </w:rPr>
      </w:pPr>
      <w:r w:rsidRPr="00C85109">
        <w:rPr>
          <w:rFonts w:asciiTheme="minorHAnsi" w:hAnsiTheme="minorHAnsi" w:cstheme="minorHAnsi"/>
          <w:sz w:val="21"/>
          <w:szCs w:val="21"/>
        </w:rPr>
        <w:t xml:space="preserve">King, J., &amp; Waghorn, G. (2018). How </w:t>
      </w:r>
      <w:r w:rsidR="00552E73" w:rsidRPr="00C85109">
        <w:rPr>
          <w:rFonts w:asciiTheme="minorHAnsi" w:hAnsiTheme="minorHAnsi" w:cstheme="minorHAnsi"/>
          <w:sz w:val="21"/>
          <w:szCs w:val="21"/>
        </w:rPr>
        <w:t>higher performing employment specialists support job-seekers with psychiatric disabilities retain employment</w:t>
      </w:r>
      <w:r w:rsidRPr="00C85109">
        <w:rPr>
          <w:rFonts w:asciiTheme="minorHAnsi" w:hAnsiTheme="minorHAnsi" w:cstheme="minorHAnsi"/>
          <w:sz w:val="21"/>
          <w:szCs w:val="21"/>
        </w:rPr>
        <w:t xml:space="preserve">. </w:t>
      </w:r>
      <w:r w:rsidRPr="00C85109">
        <w:rPr>
          <w:rFonts w:asciiTheme="minorHAnsi" w:hAnsiTheme="minorHAnsi" w:cstheme="minorHAnsi"/>
          <w:i/>
          <w:sz w:val="21"/>
          <w:szCs w:val="21"/>
        </w:rPr>
        <w:t>Journal of Rehabilitation</w:t>
      </w:r>
      <w:r w:rsidR="000D5AAC" w:rsidRPr="00C85109">
        <w:rPr>
          <w:rFonts w:asciiTheme="minorHAnsi" w:hAnsiTheme="minorHAnsi" w:cstheme="minorHAnsi"/>
          <w:i/>
          <w:sz w:val="21"/>
          <w:szCs w:val="21"/>
        </w:rPr>
        <w:t>,</w:t>
      </w:r>
      <w:r w:rsidR="00200898" w:rsidRPr="00C85109">
        <w:rPr>
          <w:rFonts w:asciiTheme="minorHAnsi" w:hAnsiTheme="minorHAnsi" w:cstheme="minorHAnsi"/>
          <w:i/>
          <w:sz w:val="21"/>
          <w:szCs w:val="21"/>
        </w:rPr>
        <w:t xml:space="preserve"> 84</w:t>
      </w:r>
      <w:r w:rsidRPr="00C85109">
        <w:rPr>
          <w:rFonts w:asciiTheme="minorHAnsi" w:hAnsiTheme="minorHAnsi" w:cstheme="minorHAnsi"/>
          <w:sz w:val="21"/>
          <w:szCs w:val="21"/>
        </w:rPr>
        <w:t>(</w:t>
      </w:r>
      <w:r w:rsidR="00551945" w:rsidRPr="00C85109">
        <w:rPr>
          <w:rFonts w:asciiTheme="minorHAnsi" w:hAnsiTheme="minorHAnsi" w:cstheme="minorHAnsi"/>
          <w:sz w:val="21"/>
          <w:szCs w:val="21"/>
        </w:rPr>
        <w:t>2</w:t>
      </w:r>
      <w:r w:rsidRPr="00C85109">
        <w:rPr>
          <w:rFonts w:asciiTheme="minorHAnsi" w:hAnsiTheme="minorHAnsi" w:cstheme="minorHAnsi"/>
          <w:sz w:val="21"/>
          <w:szCs w:val="21"/>
        </w:rPr>
        <w:t xml:space="preserve">), </w:t>
      </w:r>
      <w:r w:rsidR="00151D1A" w:rsidRPr="00C85109">
        <w:rPr>
          <w:rFonts w:asciiTheme="minorHAnsi" w:hAnsiTheme="minorHAnsi" w:cstheme="minorHAnsi"/>
          <w:sz w:val="21"/>
          <w:szCs w:val="21"/>
        </w:rPr>
        <w:t>3-13.</w:t>
      </w:r>
      <w:r w:rsidRPr="00C85109">
        <w:rPr>
          <w:rFonts w:asciiTheme="minorHAnsi" w:hAnsiTheme="minorHAnsi" w:cstheme="minorHAnsi"/>
          <w:sz w:val="21"/>
          <w:szCs w:val="21"/>
        </w:rPr>
        <w:t xml:space="preserve"> </w:t>
      </w:r>
    </w:p>
    <w:p w14:paraId="18946CA2" w14:textId="4B36943E" w:rsidR="00E35816" w:rsidRPr="00C85109" w:rsidRDefault="00E35816" w:rsidP="00CE427B">
      <w:pPr>
        <w:pStyle w:val="EndNoteBibliography"/>
        <w:spacing w:after="120" w:line="276" w:lineRule="auto"/>
        <w:ind w:left="851" w:hanging="491"/>
        <w:rPr>
          <w:rFonts w:asciiTheme="minorHAnsi" w:hAnsiTheme="minorHAnsi" w:cstheme="minorHAnsi"/>
          <w:sz w:val="21"/>
          <w:szCs w:val="21"/>
        </w:rPr>
      </w:pPr>
      <w:r w:rsidRPr="00C85109">
        <w:rPr>
          <w:rFonts w:asciiTheme="minorHAnsi" w:hAnsiTheme="minorHAnsi" w:cstheme="minorHAnsi"/>
          <w:sz w:val="21"/>
          <w:szCs w:val="21"/>
        </w:rPr>
        <w:t xml:space="preserve">Kirby, A. V., Dell'Armo, K., &amp; Persch, A. C. (2019). Differences in youth and parent postsecondary expectations for youth with disabilities. </w:t>
      </w:r>
      <w:r w:rsidRPr="00C85109">
        <w:rPr>
          <w:rFonts w:asciiTheme="minorHAnsi" w:hAnsiTheme="minorHAnsi" w:cstheme="minorHAnsi"/>
          <w:i/>
          <w:sz w:val="21"/>
          <w:szCs w:val="21"/>
        </w:rPr>
        <w:t>Journal of Vocational Rehabilitation, 51</w:t>
      </w:r>
      <w:r w:rsidRPr="00C85109">
        <w:rPr>
          <w:rFonts w:asciiTheme="minorHAnsi" w:hAnsiTheme="minorHAnsi" w:cstheme="minorHAnsi"/>
          <w:sz w:val="21"/>
          <w:szCs w:val="21"/>
        </w:rPr>
        <w:t>(1), 77</w:t>
      </w:r>
      <w:r w:rsidR="00262105" w:rsidRPr="00C85109">
        <w:rPr>
          <w:rFonts w:asciiTheme="minorHAnsi" w:hAnsiTheme="minorHAnsi" w:cstheme="minorHAnsi"/>
          <w:sz w:val="21"/>
          <w:szCs w:val="21"/>
        </w:rPr>
        <w:t>-86</w:t>
      </w:r>
      <w:r w:rsidRPr="00C85109">
        <w:rPr>
          <w:rFonts w:asciiTheme="minorHAnsi" w:hAnsiTheme="minorHAnsi" w:cstheme="minorHAnsi"/>
          <w:sz w:val="21"/>
          <w:szCs w:val="21"/>
        </w:rPr>
        <w:t xml:space="preserve">. </w:t>
      </w:r>
      <w:r w:rsidR="0082340E" w:rsidRPr="00C85109">
        <w:rPr>
          <w:rFonts w:asciiTheme="minorHAnsi" w:hAnsiTheme="minorHAnsi" w:cstheme="minorHAnsi"/>
          <w:sz w:val="21"/>
          <w:szCs w:val="21"/>
        </w:rPr>
        <w:t>https://doi.org/10.3233/JVR-191027</w:t>
      </w:r>
    </w:p>
    <w:p w14:paraId="11184192" w14:textId="4F496438" w:rsidR="00E35816" w:rsidRPr="00C85109" w:rsidRDefault="00E35816" w:rsidP="00CE427B">
      <w:pPr>
        <w:pStyle w:val="EndNoteBibliography"/>
        <w:spacing w:after="120" w:line="276" w:lineRule="auto"/>
        <w:ind w:left="851" w:hanging="491"/>
        <w:rPr>
          <w:rFonts w:asciiTheme="minorHAnsi" w:hAnsiTheme="minorHAnsi" w:cstheme="minorHAnsi"/>
          <w:sz w:val="21"/>
          <w:szCs w:val="21"/>
        </w:rPr>
      </w:pPr>
      <w:r w:rsidRPr="00C85109">
        <w:rPr>
          <w:rFonts w:asciiTheme="minorHAnsi" w:hAnsiTheme="minorHAnsi" w:cstheme="minorHAnsi"/>
          <w:sz w:val="21"/>
          <w:szCs w:val="21"/>
        </w:rPr>
        <w:t xml:space="preserve">Kohler, P. D. (1996). </w:t>
      </w:r>
      <w:r w:rsidRPr="00C85109">
        <w:rPr>
          <w:rFonts w:asciiTheme="minorHAnsi" w:hAnsiTheme="minorHAnsi" w:cstheme="minorHAnsi"/>
          <w:i/>
          <w:iCs/>
          <w:sz w:val="21"/>
          <w:szCs w:val="21"/>
        </w:rPr>
        <w:t>Taxonomy for transition programming: Linking researchand practice</w:t>
      </w:r>
      <w:r w:rsidRPr="00C85109">
        <w:rPr>
          <w:rFonts w:asciiTheme="minorHAnsi" w:hAnsiTheme="minorHAnsi" w:cstheme="minorHAnsi"/>
          <w:sz w:val="21"/>
          <w:szCs w:val="21"/>
        </w:rPr>
        <w:t xml:space="preserve">. </w:t>
      </w:r>
      <w:r w:rsidR="001E0D11" w:rsidRPr="00C85109">
        <w:rPr>
          <w:rFonts w:asciiTheme="minorHAnsi" w:hAnsiTheme="minorHAnsi" w:cstheme="minorHAnsi"/>
          <w:sz w:val="21"/>
          <w:szCs w:val="21"/>
        </w:rPr>
        <w:t xml:space="preserve">Transition Research Institute, </w:t>
      </w:r>
      <w:r w:rsidRPr="00C85109">
        <w:rPr>
          <w:rFonts w:asciiTheme="minorHAnsi" w:hAnsiTheme="minorHAnsi" w:cstheme="minorHAnsi"/>
          <w:sz w:val="21"/>
          <w:szCs w:val="21"/>
        </w:rPr>
        <w:t>University of Illinois at Urbana-Champaign</w:t>
      </w:r>
      <w:r w:rsidR="001E0D11" w:rsidRPr="00C85109">
        <w:rPr>
          <w:rFonts w:asciiTheme="minorHAnsi" w:hAnsiTheme="minorHAnsi" w:cstheme="minorHAnsi"/>
          <w:sz w:val="21"/>
          <w:szCs w:val="21"/>
        </w:rPr>
        <w:t xml:space="preserve">. </w:t>
      </w:r>
      <w:r w:rsidR="000338E4" w:rsidRPr="00C85109">
        <w:rPr>
          <w:rFonts w:asciiTheme="minorHAnsi" w:hAnsiTheme="minorHAnsi" w:cstheme="minorHAnsi"/>
          <w:sz w:val="21"/>
          <w:szCs w:val="21"/>
        </w:rPr>
        <w:t>https://files.eric.ed.gov/fulltext/ED399722.pdf</w:t>
      </w:r>
    </w:p>
    <w:p w14:paraId="241DCAAF" w14:textId="77777777" w:rsidR="006976B5" w:rsidRPr="00C85109" w:rsidRDefault="006976B5" w:rsidP="006976B5">
      <w:pPr>
        <w:pStyle w:val="EndNoteBibliography"/>
        <w:spacing w:after="120" w:line="276" w:lineRule="auto"/>
        <w:ind w:left="851" w:hanging="491"/>
        <w:rPr>
          <w:rFonts w:asciiTheme="minorHAnsi" w:hAnsiTheme="minorHAnsi" w:cstheme="minorHAnsi"/>
          <w:sz w:val="21"/>
          <w:szCs w:val="21"/>
        </w:rPr>
      </w:pPr>
      <w:bookmarkStart w:id="194" w:name="_Hlk42525016"/>
      <w:r w:rsidRPr="00C85109">
        <w:rPr>
          <w:rFonts w:asciiTheme="minorHAnsi" w:hAnsiTheme="minorHAnsi" w:cstheme="minorHAnsi"/>
          <w:sz w:val="21"/>
          <w:szCs w:val="21"/>
        </w:rPr>
        <w:t xml:space="preserve">Kohler, P. D., &amp; Field, S. (2003). Transition-focused education: Foundation for the future. </w:t>
      </w:r>
      <w:r w:rsidRPr="00C85109">
        <w:rPr>
          <w:rFonts w:asciiTheme="minorHAnsi" w:hAnsiTheme="minorHAnsi" w:cstheme="minorHAnsi"/>
          <w:i/>
          <w:sz w:val="21"/>
          <w:szCs w:val="21"/>
        </w:rPr>
        <w:t>Journal of Special Education, 37</w:t>
      </w:r>
      <w:r w:rsidRPr="00C85109">
        <w:rPr>
          <w:rFonts w:asciiTheme="minorHAnsi" w:hAnsiTheme="minorHAnsi" w:cstheme="minorHAnsi"/>
          <w:sz w:val="21"/>
          <w:szCs w:val="21"/>
        </w:rPr>
        <w:t>(3), 174-183. https://doi.org/10.1177/00224669030370030701</w:t>
      </w:r>
    </w:p>
    <w:bookmarkEnd w:id="194"/>
    <w:p w14:paraId="6A9832C9" w14:textId="14FBF20C" w:rsidR="00E35816" w:rsidRPr="00C85109" w:rsidRDefault="00E35816" w:rsidP="00CE427B">
      <w:pPr>
        <w:pStyle w:val="EndNoteBibliography"/>
        <w:spacing w:after="120" w:line="276" w:lineRule="auto"/>
        <w:ind w:left="851" w:hanging="491"/>
        <w:rPr>
          <w:rFonts w:asciiTheme="minorHAnsi" w:hAnsiTheme="minorHAnsi" w:cstheme="minorHAnsi"/>
          <w:sz w:val="21"/>
          <w:szCs w:val="21"/>
        </w:rPr>
      </w:pPr>
      <w:r w:rsidRPr="00C85109">
        <w:rPr>
          <w:rFonts w:asciiTheme="minorHAnsi" w:hAnsiTheme="minorHAnsi" w:cstheme="minorHAnsi"/>
          <w:sz w:val="21"/>
          <w:szCs w:val="21"/>
        </w:rPr>
        <w:t>Kohler, P.</w:t>
      </w:r>
      <w:r w:rsidR="009C0439" w:rsidRPr="00C85109">
        <w:rPr>
          <w:rFonts w:asciiTheme="minorHAnsi" w:hAnsiTheme="minorHAnsi" w:cstheme="minorHAnsi"/>
          <w:sz w:val="21"/>
          <w:szCs w:val="21"/>
        </w:rPr>
        <w:t xml:space="preserve"> D., </w:t>
      </w:r>
      <w:r w:rsidR="00435C8C" w:rsidRPr="00C85109">
        <w:rPr>
          <w:rFonts w:asciiTheme="minorHAnsi" w:hAnsiTheme="minorHAnsi" w:cstheme="minorHAnsi"/>
          <w:sz w:val="21"/>
          <w:szCs w:val="21"/>
        </w:rPr>
        <w:t xml:space="preserve">Gothberg, J. E., Fowler, C., &amp; Coyle, </w:t>
      </w:r>
      <w:r w:rsidR="009C7C79" w:rsidRPr="00C85109">
        <w:rPr>
          <w:rFonts w:asciiTheme="minorHAnsi" w:hAnsiTheme="minorHAnsi" w:cstheme="minorHAnsi"/>
          <w:sz w:val="21"/>
          <w:szCs w:val="21"/>
        </w:rPr>
        <w:t>J.</w:t>
      </w:r>
      <w:r w:rsidRPr="00C85109">
        <w:rPr>
          <w:rFonts w:asciiTheme="minorHAnsi" w:hAnsiTheme="minorHAnsi" w:cstheme="minorHAnsi"/>
          <w:sz w:val="21"/>
          <w:szCs w:val="21"/>
        </w:rPr>
        <w:t xml:space="preserve"> (2016). </w:t>
      </w:r>
      <w:r w:rsidRPr="00C85109">
        <w:rPr>
          <w:rFonts w:asciiTheme="minorHAnsi" w:hAnsiTheme="minorHAnsi" w:cstheme="minorHAnsi"/>
          <w:i/>
          <w:iCs/>
          <w:sz w:val="21"/>
          <w:szCs w:val="21"/>
        </w:rPr>
        <w:t>Taxonomy for transition programming 2.0</w:t>
      </w:r>
      <w:r w:rsidR="00817704" w:rsidRPr="00C85109">
        <w:rPr>
          <w:rFonts w:asciiTheme="minorHAnsi" w:hAnsiTheme="minorHAnsi" w:cstheme="minorHAnsi"/>
          <w:i/>
          <w:iCs/>
          <w:sz w:val="21"/>
          <w:szCs w:val="21"/>
        </w:rPr>
        <w:t>:</w:t>
      </w:r>
      <w:r w:rsidRPr="00C85109">
        <w:rPr>
          <w:rFonts w:asciiTheme="minorHAnsi" w:hAnsiTheme="minorHAnsi" w:cstheme="minorHAnsi"/>
          <w:i/>
          <w:iCs/>
          <w:sz w:val="21"/>
          <w:szCs w:val="21"/>
        </w:rPr>
        <w:t xml:space="preserve"> A </w:t>
      </w:r>
      <w:r w:rsidR="00817704" w:rsidRPr="00C85109">
        <w:rPr>
          <w:rFonts w:asciiTheme="minorHAnsi" w:hAnsiTheme="minorHAnsi" w:cstheme="minorHAnsi"/>
          <w:i/>
          <w:iCs/>
          <w:sz w:val="21"/>
          <w:szCs w:val="21"/>
        </w:rPr>
        <w:t>model for planning, organizing, and evaluating transition education, services, and programs</w:t>
      </w:r>
      <w:r w:rsidR="006B3BAF" w:rsidRPr="00C85109">
        <w:rPr>
          <w:rFonts w:asciiTheme="minorHAnsi" w:hAnsiTheme="minorHAnsi" w:cstheme="minorHAnsi"/>
          <w:i/>
          <w:iCs/>
          <w:sz w:val="21"/>
          <w:szCs w:val="21"/>
        </w:rPr>
        <w:t xml:space="preserve">. </w:t>
      </w:r>
      <w:r w:rsidR="006B3BAF" w:rsidRPr="00C85109">
        <w:rPr>
          <w:rFonts w:asciiTheme="minorHAnsi" w:hAnsiTheme="minorHAnsi" w:cstheme="minorHAnsi"/>
          <w:sz w:val="21"/>
          <w:szCs w:val="21"/>
        </w:rPr>
        <w:t xml:space="preserve">Western Michigan </w:t>
      </w:r>
      <w:r w:rsidR="004474F9" w:rsidRPr="00C85109">
        <w:rPr>
          <w:rFonts w:asciiTheme="minorHAnsi" w:hAnsiTheme="minorHAnsi" w:cstheme="minorHAnsi"/>
          <w:sz w:val="21"/>
          <w:szCs w:val="21"/>
        </w:rPr>
        <w:t>University.</w:t>
      </w:r>
      <w:r w:rsidR="006976B5" w:rsidRPr="00C85109">
        <w:rPr>
          <w:rFonts w:asciiTheme="minorHAnsi" w:hAnsiTheme="minorHAnsi" w:cstheme="minorHAnsi"/>
          <w:sz w:val="21"/>
          <w:szCs w:val="21"/>
        </w:rPr>
        <w:t xml:space="preserve"> </w:t>
      </w:r>
      <w:r w:rsidR="00E46DD6" w:rsidRPr="00C85109">
        <w:rPr>
          <w:rFonts w:asciiTheme="minorHAnsi" w:hAnsiTheme="minorHAnsi" w:cstheme="minorHAnsi"/>
          <w:sz w:val="21"/>
          <w:szCs w:val="21"/>
        </w:rPr>
        <w:t>https://transitionta.org/system/files/resourcetrees/Taxonomy_for_Transition_Programming_v2_508_.pdf?</w:t>
      </w:r>
    </w:p>
    <w:p w14:paraId="3C0AE9A8" w14:textId="6E7A0FA6" w:rsidR="00E35816" w:rsidRPr="00C85109" w:rsidRDefault="00E35816" w:rsidP="00CE427B">
      <w:pPr>
        <w:pStyle w:val="EndNoteBibliography"/>
        <w:spacing w:after="120" w:line="276" w:lineRule="auto"/>
        <w:ind w:left="851" w:hanging="491"/>
        <w:rPr>
          <w:rFonts w:asciiTheme="minorHAnsi" w:hAnsiTheme="minorHAnsi" w:cstheme="minorHAnsi"/>
          <w:sz w:val="21"/>
          <w:szCs w:val="21"/>
        </w:rPr>
      </w:pPr>
      <w:r w:rsidRPr="00C85109">
        <w:rPr>
          <w:rFonts w:asciiTheme="minorHAnsi" w:hAnsiTheme="minorHAnsi" w:cstheme="minorHAnsi"/>
          <w:sz w:val="21"/>
          <w:szCs w:val="21"/>
        </w:rPr>
        <w:t>Kramer, J.</w:t>
      </w:r>
      <w:r w:rsidR="007770FE" w:rsidRPr="00C85109">
        <w:rPr>
          <w:rFonts w:asciiTheme="minorHAnsi" w:hAnsiTheme="minorHAnsi" w:cstheme="minorHAnsi"/>
          <w:sz w:val="21"/>
          <w:szCs w:val="21"/>
        </w:rPr>
        <w:t xml:space="preserve"> M.</w:t>
      </w:r>
      <w:r w:rsidRPr="00C85109">
        <w:rPr>
          <w:rFonts w:asciiTheme="minorHAnsi" w:hAnsiTheme="minorHAnsi" w:cstheme="minorHAnsi"/>
          <w:sz w:val="21"/>
          <w:szCs w:val="21"/>
        </w:rPr>
        <w:t>, Ryan, C.</w:t>
      </w:r>
      <w:r w:rsidR="007770FE" w:rsidRPr="00C85109">
        <w:rPr>
          <w:rFonts w:asciiTheme="minorHAnsi" w:hAnsiTheme="minorHAnsi" w:cstheme="minorHAnsi"/>
          <w:sz w:val="21"/>
          <w:szCs w:val="21"/>
        </w:rPr>
        <w:t xml:space="preserve"> T.</w:t>
      </w:r>
      <w:r w:rsidRPr="00C85109">
        <w:rPr>
          <w:rFonts w:asciiTheme="minorHAnsi" w:hAnsiTheme="minorHAnsi" w:cstheme="minorHAnsi"/>
          <w:sz w:val="21"/>
          <w:szCs w:val="21"/>
        </w:rPr>
        <w:t xml:space="preserve">, Moore, R., &amp; Schwartz, A. (2018). Feasibility of electronic peer mentoring for transition‐age youth and young adults with intellectual and developmental disabilities: Project teens making environment and activity modifications. </w:t>
      </w:r>
      <w:r w:rsidRPr="00C85109">
        <w:rPr>
          <w:rFonts w:asciiTheme="minorHAnsi" w:hAnsiTheme="minorHAnsi" w:cstheme="minorHAnsi"/>
          <w:i/>
          <w:sz w:val="21"/>
          <w:szCs w:val="21"/>
        </w:rPr>
        <w:t>Journal of Applied Research in Intellectual Disabilities, 31</w:t>
      </w:r>
      <w:r w:rsidR="00DF14C1" w:rsidRPr="00C85109">
        <w:rPr>
          <w:rFonts w:asciiTheme="minorHAnsi" w:hAnsiTheme="minorHAnsi" w:cstheme="minorHAnsi"/>
          <w:iCs/>
          <w:sz w:val="21"/>
          <w:szCs w:val="21"/>
        </w:rPr>
        <w:t>(1)</w:t>
      </w:r>
      <w:r w:rsidRPr="00C85109">
        <w:rPr>
          <w:rFonts w:asciiTheme="minorHAnsi" w:hAnsiTheme="minorHAnsi" w:cstheme="minorHAnsi"/>
          <w:iCs/>
          <w:sz w:val="21"/>
          <w:szCs w:val="21"/>
        </w:rPr>
        <w:t>,</w:t>
      </w:r>
      <w:r w:rsidRPr="00C85109">
        <w:rPr>
          <w:rFonts w:asciiTheme="minorHAnsi" w:hAnsiTheme="minorHAnsi" w:cstheme="minorHAnsi"/>
          <w:sz w:val="21"/>
          <w:szCs w:val="21"/>
        </w:rPr>
        <w:t xml:space="preserve"> e118-e129. </w:t>
      </w:r>
      <w:r w:rsidR="00887419" w:rsidRPr="00C85109">
        <w:rPr>
          <w:rFonts w:asciiTheme="minorHAnsi" w:hAnsiTheme="minorHAnsi" w:cstheme="minorHAnsi"/>
          <w:sz w:val="21"/>
          <w:szCs w:val="21"/>
        </w:rPr>
        <w:t>https://doi.org/10.1111/jar.12346</w:t>
      </w:r>
    </w:p>
    <w:p w14:paraId="06DBC1E7" w14:textId="48C4F74E" w:rsidR="00F16D49" w:rsidRPr="00C85109" w:rsidRDefault="00F16D49" w:rsidP="00CE427B">
      <w:pPr>
        <w:autoSpaceDE w:val="0"/>
        <w:autoSpaceDN w:val="0"/>
        <w:adjustRightInd w:val="0"/>
        <w:spacing w:before="0" w:after="120" w:line="276" w:lineRule="auto"/>
        <w:ind w:left="851" w:hanging="491"/>
        <w:rPr>
          <w:rFonts w:asciiTheme="minorHAnsi" w:hAnsiTheme="minorHAnsi" w:cstheme="minorHAnsi"/>
          <w:szCs w:val="21"/>
        </w:rPr>
      </w:pPr>
      <w:r w:rsidRPr="00C85109">
        <w:rPr>
          <w:rFonts w:asciiTheme="minorHAnsi" w:hAnsiTheme="minorHAnsi" w:cstheme="minorHAnsi"/>
          <w:szCs w:val="21"/>
        </w:rPr>
        <w:t xml:space="preserve">Lawlor, J., &amp; Perkins, D. (2009). Integrated support to overcome severe employment barriers. Adapting the IPS approach. Centre for Public Policy, University of Melbourne and Brotherhood </w:t>
      </w:r>
      <w:r w:rsidRPr="00C85109">
        <w:rPr>
          <w:rFonts w:asciiTheme="minorHAnsi" w:hAnsiTheme="minorHAnsi" w:cstheme="minorHAnsi"/>
          <w:szCs w:val="21"/>
        </w:rPr>
        <w:lastRenderedPageBreak/>
        <w:t>of St Laurence. http://library.bsl.org.au/jspui/bitstream/1/1367/1/Lawlor%26Perkins_Integrated_support_employment_barriers.pdf</w:t>
      </w:r>
    </w:p>
    <w:p w14:paraId="27AE0166" w14:textId="747D52BB" w:rsidR="00E35816" w:rsidRPr="00C85109" w:rsidRDefault="00E35816" w:rsidP="00CE427B">
      <w:pPr>
        <w:autoSpaceDE w:val="0"/>
        <w:autoSpaceDN w:val="0"/>
        <w:adjustRightInd w:val="0"/>
        <w:spacing w:before="0" w:after="120" w:line="276" w:lineRule="auto"/>
        <w:ind w:left="851" w:hanging="491"/>
        <w:rPr>
          <w:rFonts w:asciiTheme="minorHAnsi" w:hAnsiTheme="minorHAnsi" w:cstheme="minorHAnsi"/>
          <w:szCs w:val="21"/>
        </w:rPr>
      </w:pPr>
      <w:r w:rsidRPr="00C85109">
        <w:rPr>
          <w:rFonts w:asciiTheme="minorHAnsi" w:hAnsiTheme="minorHAnsi" w:cstheme="minorHAnsi"/>
          <w:szCs w:val="21"/>
        </w:rPr>
        <w:t>LEAD Center</w:t>
      </w:r>
      <w:r w:rsidR="00972FC9" w:rsidRPr="00C85109">
        <w:rPr>
          <w:rFonts w:asciiTheme="minorHAnsi" w:hAnsiTheme="minorHAnsi" w:cstheme="minorHAnsi"/>
          <w:szCs w:val="21"/>
        </w:rPr>
        <w:t>.</w:t>
      </w:r>
      <w:r w:rsidRPr="00C85109">
        <w:rPr>
          <w:rFonts w:asciiTheme="minorHAnsi" w:hAnsiTheme="minorHAnsi" w:cstheme="minorHAnsi"/>
          <w:szCs w:val="21"/>
        </w:rPr>
        <w:t xml:space="preserve"> (2015). </w:t>
      </w:r>
      <w:r w:rsidRPr="00C85109">
        <w:rPr>
          <w:rFonts w:asciiTheme="minorHAnsi" w:hAnsiTheme="minorHAnsi" w:cstheme="minorHAnsi"/>
          <w:i/>
          <w:iCs/>
          <w:szCs w:val="21"/>
        </w:rPr>
        <w:t xml:space="preserve">Frequently </w:t>
      </w:r>
      <w:r w:rsidR="00571FB8" w:rsidRPr="00C85109">
        <w:rPr>
          <w:rFonts w:asciiTheme="minorHAnsi" w:hAnsiTheme="minorHAnsi" w:cstheme="minorHAnsi"/>
          <w:i/>
          <w:iCs/>
          <w:szCs w:val="21"/>
        </w:rPr>
        <w:t>asked questions</w:t>
      </w:r>
      <w:r w:rsidRPr="00C85109">
        <w:rPr>
          <w:rFonts w:asciiTheme="minorHAnsi" w:hAnsiTheme="minorHAnsi" w:cstheme="minorHAnsi"/>
          <w:i/>
          <w:iCs/>
          <w:szCs w:val="21"/>
        </w:rPr>
        <w:t xml:space="preserve">: Using </w:t>
      </w:r>
      <w:r w:rsidR="00571FB8" w:rsidRPr="00C85109">
        <w:rPr>
          <w:rFonts w:asciiTheme="minorHAnsi" w:hAnsiTheme="minorHAnsi" w:cstheme="minorHAnsi"/>
          <w:i/>
          <w:iCs/>
          <w:szCs w:val="21"/>
        </w:rPr>
        <w:t>customized employment’s discovery and group discovery models to promote job seeker success in American job centers</w:t>
      </w:r>
      <w:r w:rsidR="00571FB8" w:rsidRPr="00C85109">
        <w:rPr>
          <w:rFonts w:asciiTheme="minorHAnsi" w:hAnsiTheme="minorHAnsi" w:cstheme="minorHAnsi"/>
          <w:szCs w:val="21"/>
        </w:rPr>
        <w:t xml:space="preserve">. </w:t>
      </w:r>
      <w:r w:rsidR="0087238B" w:rsidRPr="00C85109">
        <w:rPr>
          <w:rFonts w:asciiTheme="minorHAnsi" w:hAnsiTheme="minorHAnsi" w:cstheme="minorHAnsi"/>
          <w:szCs w:val="21"/>
        </w:rPr>
        <w:t>http://www.leadcenter.org/system/files/resource/downloadable_version/CE-and-Group-Discovery-FAQs.pdf</w:t>
      </w:r>
    </w:p>
    <w:p w14:paraId="5978812B" w14:textId="4360F9E2" w:rsidR="00E35816" w:rsidRPr="00C85109" w:rsidRDefault="00E35816" w:rsidP="00CE427B">
      <w:pPr>
        <w:pStyle w:val="EndNoteBibliography"/>
        <w:spacing w:after="120" w:line="276" w:lineRule="auto"/>
        <w:ind w:left="851" w:hanging="491"/>
        <w:rPr>
          <w:rFonts w:asciiTheme="minorHAnsi" w:hAnsiTheme="minorHAnsi" w:cstheme="minorHAnsi"/>
          <w:sz w:val="21"/>
          <w:szCs w:val="21"/>
        </w:rPr>
      </w:pPr>
      <w:bookmarkStart w:id="195" w:name="_Hlk40695355"/>
      <w:r w:rsidRPr="00C85109">
        <w:rPr>
          <w:rFonts w:asciiTheme="minorHAnsi" w:hAnsiTheme="minorHAnsi" w:cstheme="minorHAnsi"/>
          <w:sz w:val="21"/>
          <w:szCs w:val="21"/>
        </w:rPr>
        <w:t xml:space="preserve">Lee, E. A. L., Black, M. H., Tan, T., Falkmer, T., &amp; Girdler, S. (2019). “I’m </w:t>
      </w:r>
      <w:r w:rsidR="001A309A" w:rsidRPr="00C85109">
        <w:rPr>
          <w:rFonts w:asciiTheme="minorHAnsi" w:hAnsiTheme="minorHAnsi" w:cstheme="minorHAnsi"/>
          <w:sz w:val="21"/>
          <w:szCs w:val="21"/>
        </w:rPr>
        <w:t>destined to ace this”: Work experience placement during high school for individuals with autism spectrum disorder</w:t>
      </w:r>
      <w:r w:rsidRPr="00C85109">
        <w:rPr>
          <w:rFonts w:asciiTheme="minorHAnsi" w:hAnsiTheme="minorHAnsi" w:cstheme="minorHAnsi"/>
          <w:sz w:val="21"/>
          <w:szCs w:val="21"/>
        </w:rPr>
        <w:t xml:space="preserve">. </w:t>
      </w:r>
      <w:r w:rsidR="00154D80" w:rsidRPr="00C85109">
        <w:rPr>
          <w:rFonts w:asciiTheme="minorHAnsi" w:hAnsiTheme="minorHAnsi" w:cstheme="minorHAnsi"/>
          <w:i/>
          <w:iCs/>
          <w:sz w:val="21"/>
          <w:szCs w:val="21"/>
        </w:rPr>
        <w:t>Journal of Autism and Developmental Disorders volume</w:t>
      </w:r>
      <w:r w:rsidRPr="00C85109">
        <w:rPr>
          <w:rFonts w:asciiTheme="minorHAnsi" w:hAnsiTheme="minorHAnsi" w:cstheme="minorHAnsi"/>
          <w:sz w:val="21"/>
          <w:szCs w:val="21"/>
        </w:rPr>
        <w:t xml:space="preserve">, </w:t>
      </w:r>
      <w:r w:rsidRPr="00C85109">
        <w:rPr>
          <w:rFonts w:asciiTheme="minorHAnsi" w:hAnsiTheme="minorHAnsi" w:cstheme="minorHAnsi"/>
          <w:i/>
          <w:iCs/>
          <w:sz w:val="21"/>
          <w:szCs w:val="21"/>
        </w:rPr>
        <w:t>49</w:t>
      </w:r>
      <w:r w:rsidRPr="00C85109">
        <w:rPr>
          <w:rFonts w:asciiTheme="minorHAnsi" w:hAnsiTheme="minorHAnsi" w:cstheme="minorHAnsi"/>
          <w:sz w:val="21"/>
          <w:szCs w:val="21"/>
        </w:rPr>
        <w:t xml:space="preserve">(8), 3089-3101. </w:t>
      </w:r>
      <w:r w:rsidR="00D9265F" w:rsidRPr="00C85109">
        <w:rPr>
          <w:rFonts w:asciiTheme="minorHAnsi" w:hAnsiTheme="minorHAnsi" w:cstheme="minorHAnsi"/>
          <w:sz w:val="21"/>
          <w:szCs w:val="21"/>
        </w:rPr>
        <w:t>https://doi.org/10.1007/s10803-019-04024-x</w:t>
      </w:r>
    </w:p>
    <w:p w14:paraId="7F0023A9" w14:textId="7E97F89B" w:rsidR="00E35816" w:rsidRPr="00C85109" w:rsidRDefault="00E35816" w:rsidP="00CE427B">
      <w:pPr>
        <w:pStyle w:val="EndNoteBibliography"/>
        <w:spacing w:after="120" w:line="276" w:lineRule="auto"/>
        <w:ind w:left="851" w:hanging="491"/>
        <w:rPr>
          <w:rFonts w:asciiTheme="minorHAnsi" w:hAnsiTheme="minorHAnsi" w:cstheme="minorHAnsi"/>
          <w:sz w:val="21"/>
          <w:szCs w:val="21"/>
        </w:rPr>
      </w:pPr>
      <w:r w:rsidRPr="00C85109">
        <w:rPr>
          <w:rFonts w:asciiTheme="minorHAnsi" w:hAnsiTheme="minorHAnsi" w:cstheme="minorHAnsi"/>
          <w:sz w:val="21"/>
          <w:szCs w:val="21"/>
        </w:rPr>
        <w:t>Leonard, H., Foley, K.-R., Pikora, T., Bourke, J., Wong, K., McPherson, L.,</w:t>
      </w:r>
      <w:r w:rsidR="00C947A8" w:rsidRPr="00C85109">
        <w:rPr>
          <w:rFonts w:asciiTheme="minorHAnsi" w:hAnsiTheme="minorHAnsi" w:cstheme="minorHAnsi"/>
          <w:sz w:val="21"/>
          <w:szCs w:val="21"/>
        </w:rPr>
        <w:t xml:space="preserve"> Lennox, N., &amp; </w:t>
      </w:r>
      <w:r w:rsidRPr="00C85109">
        <w:rPr>
          <w:rFonts w:asciiTheme="minorHAnsi" w:hAnsiTheme="minorHAnsi" w:cstheme="minorHAnsi"/>
          <w:sz w:val="21"/>
          <w:szCs w:val="21"/>
        </w:rPr>
        <w:t xml:space="preserve">Downs, J. (2016). Transition to adulthood for young people with intellectual disability: </w:t>
      </w:r>
      <w:r w:rsidR="00144847" w:rsidRPr="00C85109">
        <w:rPr>
          <w:rFonts w:asciiTheme="minorHAnsi" w:hAnsiTheme="minorHAnsi" w:cstheme="minorHAnsi"/>
          <w:sz w:val="21"/>
          <w:szCs w:val="21"/>
        </w:rPr>
        <w:t>T</w:t>
      </w:r>
      <w:r w:rsidRPr="00C85109">
        <w:rPr>
          <w:rFonts w:asciiTheme="minorHAnsi" w:hAnsiTheme="minorHAnsi" w:cstheme="minorHAnsi"/>
          <w:sz w:val="21"/>
          <w:szCs w:val="21"/>
        </w:rPr>
        <w:t>he experiences of their families.</w:t>
      </w:r>
      <w:r w:rsidRPr="00C85109">
        <w:rPr>
          <w:rFonts w:asciiTheme="minorHAnsi" w:hAnsiTheme="minorHAnsi" w:cstheme="minorHAnsi"/>
          <w:i/>
          <w:sz w:val="21"/>
          <w:szCs w:val="21"/>
        </w:rPr>
        <w:t xml:space="preserve"> </w:t>
      </w:r>
      <w:r w:rsidR="00A938CA" w:rsidRPr="00C85109">
        <w:rPr>
          <w:rFonts w:asciiTheme="minorHAnsi" w:hAnsiTheme="minorHAnsi" w:cstheme="minorHAnsi"/>
          <w:i/>
          <w:sz w:val="21"/>
          <w:szCs w:val="21"/>
        </w:rPr>
        <w:t xml:space="preserve">European Child </w:t>
      </w:r>
      <w:r w:rsidR="00293704" w:rsidRPr="00C85109">
        <w:rPr>
          <w:rFonts w:asciiTheme="minorHAnsi" w:hAnsiTheme="minorHAnsi" w:cstheme="minorHAnsi"/>
          <w:i/>
          <w:sz w:val="21"/>
          <w:szCs w:val="21"/>
        </w:rPr>
        <w:t>and</w:t>
      </w:r>
      <w:r w:rsidR="00A938CA" w:rsidRPr="00C85109">
        <w:rPr>
          <w:rFonts w:asciiTheme="minorHAnsi" w:hAnsiTheme="minorHAnsi" w:cstheme="minorHAnsi"/>
          <w:i/>
          <w:sz w:val="21"/>
          <w:szCs w:val="21"/>
        </w:rPr>
        <w:t xml:space="preserve"> Adolescent Psychiatry</w:t>
      </w:r>
      <w:r w:rsidR="00144847" w:rsidRPr="00C85109">
        <w:rPr>
          <w:rFonts w:asciiTheme="minorHAnsi" w:hAnsiTheme="minorHAnsi" w:cstheme="minorHAnsi"/>
          <w:i/>
          <w:sz w:val="21"/>
          <w:szCs w:val="21"/>
        </w:rPr>
        <w:t>,</w:t>
      </w:r>
      <w:r w:rsidR="00A938CA" w:rsidRPr="00C85109">
        <w:rPr>
          <w:rFonts w:asciiTheme="minorHAnsi" w:hAnsiTheme="minorHAnsi" w:cstheme="minorHAnsi"/>
          <w:i/>
          <w:sz w:val="21"/>
          <w:szCs w:val="21"/>
        </w:rPr>
        <w:t xml:space="preserve"> </w:t>
      </w:r>
      <w:r w:rsidRPr="00C85109">
        <w:rPr>
          <w:rFonts w:asciiTheme="minorHAnsi" w:hAnsiTheme="minorHAnsi" w:cstheme="minorHAnsi"/>
          <w:i/>
          <w:sz w:val="21"/>
          <w:szCs w:val="21"/>
        </w:rPr>
        <w:t>25</w:t>
      </w:r>
      <w:r w:rsidRPr="00C85109">
        <w:rPr>
          <w:rFonts w:asciiTheme="minorHAnsi" w:hAnsiTheme="minorHAnsi" w:cstheme="minorHAnsi"/>
          <w:sz w:val="21"/>
          <w:szCs w:val="21"/>
        </w:rPr>
        <w:t xml:space="preserve">(12), 1369-1381. </w:t>
      </w:r>
      <w:r w:rsidR="00F17560" w:rsidRPr="00C85109">
        <w:rPr>
          <w:rFonts w:asciiTheme="minorHAnsi" w:hAnsiTheme="minorHAnsi" w:cstheme="minorHAnsi"/>
          <w:sz w:val="21"/>
          <w:szCs w:val="21"/>
        </w:rPr>
        <w:t>https://doi.org/10.1007/s00787-016-0853-2</w:t>
      </w:r>
    </w:p>
    <w:p w14:paraId="436510D1" w14:textId="223F6676" w:rsidR="00E35816" w:rsidRPr="00C85109" w:rsidRDefault="00E35816" w:rsidP="00CE427B">
      <w:pPr>
        <w:pStyle w:val="References"/>
        <w:spacing w:before="0" w:after="120" w:line="276" w:lineRule="auto"/>
        <w:ind w:left="851" w:right="-374" w:hanging="491"/>
        <w:rPr>
          <w:rFonts w:asciiTheme="minorHAnsi" w:hAnsiTheme="minorHAnsi" w:cstheme="minorHAnsi"/>
          <w:sz w:val="21"/>
          <w:szCs w:val="21"/>
        </w:rPr>
      </w:pPr>
      <w:bookmarkStart w:id="196" w:name="_Hlk42424576"/>
      <w:r w:rsidRPr="00C85109">
        <w:rPr>
          <w:rFonts w:asciiTheme="minorHAnsi" w:hAnsiTheme="minorHAnsi" w:cstheme="minorHAnsi"/>
          <w:sz w:val="21"/>
          <w:szCs w:val="21"/>
        </w:rPr>
        <w:t>Lewis, G.</w:t>
      </w:r>
      <w:r w:rsidR="00B95169" w:rsidRPr="00C85109">
        <w:rPr>
          <w:rFonts w:asciiTheme="minorHAnsi" w:hAnsiTheme="minorHAnsi" w:cstheme="minorHAnsi"/>
          <w:sz w:val="21"/>
          <w:szCs w:val="21"/>
        </w:rPr>
        <w:t>,</w:t>
      </w:r>
      <w:r w:rsidRPr="00C85109">
        <w:rPr>
          <w:rFonts w:asciiTheme="minorHAnsi" w:hAnsiTheme="minorHAnsi" w:cstheme="minorHAnsi"/>
          <w:sz w:val="21"/>
          <w:szCs w:val="21"/>
        </w:rPr>
        <w:t xml:space="preserve"> Thoresen, S.</w:t>
      </w:r>
      <w:r w:rsidR="00B95169" w:rsidRPr="00C85109">
        <w:rPr>
          <w:rFonts w:asciiTheme="minorHAnsi" w:hAnsiTheme="minorHAnsi" w:cstheme="minorHAnsi"/>
          <w:sz w:val="21"/>
          <w:szCs w:val="21"/>
        </w:rPr>
        <w:t xml:space="preserve"> </w:t>
      </w:r>
      <w:r w:rsidRPr="00C85109">
        <w:rPr>
          <w:rFonts w:asciiTheme="minorHAnsi" w:hAnsiTheme="minorHAnsi" w:cstheme="minorHAnsi"/>
          <w:sz w:val="21"/>
          <w:szCs w:val="21"/>
        </w:rPr>
        <w:t>H.</w:t>
      </w:r>
      <w:r w:rsidR="00B95169" w:rsidRPr="00C85109">
        <w:rPr>
          <w:rFonts w:asciiTheme="minorHAnsi" w:hAnsiTheme="minorHAnsi" w:cstheme="minorHAnsi"/>
          <w:sz w:val="21"/>
          <w:szCs w:val="21"/>
        </w:rPr>
        <w:t>,</w:t>
      </w:r>
      <w:r w:rsidRPr="00C85109">
        <w:rPr>
          <w:rFonts w:asciiTheme="minorHAnsi" w:hAnsiTheme="minorHAnsi" w:cstheme="minorHAnsi"/>
          <w:sz w:val="21"/>
          <w:szCs w:val="21"/>
        </w:rPr>
        <w:t xml:space="preserve"> &amp; Cocks, E</w:t>
      </w:r>
      <w:r w:rsidRPr="00302147">
        <w:rPr>
          <w:rFonts w:asciiTheme="minorHAnsi" w:hAnsiTheme="minorHAnsi" w:cstheme="minorHAnsi"/>
          <w:sz w:val="21"/>
          <w:szCs w:val="21"/>
        </w:rPr>
        <w:t>. (2011</w:t>
      </w:r>
      <w:r w:rsidR="00AB2647">
        <w:rPr>
          <w:rFonts w:asciiTheme="minorHAnsi" w:hAnsiTheme="minorHAnsi" w:cstheme="minorHAnsi"/>
          <w:sz w:val="21"/>
          <w:szCs w:val="21"/>
        </w:rPr>
        <w:t>a</w:t>
      </w:r>
      <w:r w:rsidR="00302147" w:rsidRPr="00302147">
        <w:rPr>
          <w:rFonts w:asciiTheme="minorHAnsi" w:hAnsiTheme="minorHAnsi" w:cstheme="minorHAnsi"/>
          <w:sz w:val="21"/>
          <w:szCs w:val="21"/>
        </w:rPr>
        <w:t>)</w:t>
      </w:r>
      <w:r w:rsidR="00621D54" w:rsidRPr="00302147">
        <w:rPr>
          <w:rFonts w:asciiTheme="minorHAnsi" w:hAnsiTheme="minorHAnsi" w:cstheme="minorHAnsi"/>
          <w:sz w:val="21"/>
          <w:szCs w:val="21"/>
        </w:rPr>
        <w:t>.</w:t>
      </w:r>
      <w:r w:rsidRPr="00C85109">
        <w:rPr>
          <w:rFonts w:asciiTheme="minorHAnsi" w:hAnsiTheme="minorHAnsi" w:cstheme="minorHAnsi"/>
          <w:sz w:val="21"/>
          <w:szCs w:val="21"/>
        </w:rPr>
        <w:t xml:space="preserve"> Post-course outcomes of apprenticeships and traineeships for people with disability in Western Australia</w:t>
      </w:r>
      <w:r w:rsidR="00621D54" w:rsidRPr="00C85109">
        <w:rPr>
          <w:rFonts w:asciiTheme="minorHAnsi" w:hAnsiTheme="minorHAnsi" w:cstheme="minorHAnsi"/>
          <w:sz w:val="21"/>
          <w:szCs w:val="21"/>
        </w:rPr>
        <w:t>.</w:t>
      </w:r>
      <w:r w:rsidRPr="00C85109">
        <w:rPr>
          <w:rFonts w:asciiTheme="minorHAnsi" w:hAnsiTheme="minorHAnsi" w:cstheme="minorHAnsi"/>
          <w:sz w:val="21"/>
          <w:szCs w:val="21"/>
        </w:rPr>
        <w:t xml:space="preserve"> </w:t>
      </w:r>
      <w:r w:rsidRPr="00C85109">
        <w:rPr>
          <w:rFonts w:asciiTheme="minorHAnsi" w:hAnsiTheme="minorHAnsi" w:cstheme="minorHAnsi"/>
          <w:i/>
          <w:sz w:val="21"/>
          <w:szCs w:val="21"/>
        </w:rPr>
        <w:t>Journal of Vocational Rehabilitation</w:t>
      </w:r>
      <w:r w:rsidRPr="00C85109">
        <w:rPr>
          <w:rFonts w:asciiTheme="minorHAnsi" w:hAnsiTheme="minorHAnsi" w:cstheme="minorHAnsi"/>
          <w:sz w:val="21"/>
          <w:szCs w:val="21"/>
        </w:rPr>
        <w:t>,</w:t>
      </w:r>
      <w:r w:rsidR="00621D54" w:rsidRPr="00C85109">
        <w:rPr>
          <w:rFonts w:asciiTheme="minorHAnsi" w:hAnsiTheme="minorHAnsi" w:cstheme="minorHAnsi"/>
          <w:sz w:val="21"/>
          <w:szCs w:val="21"/>
        </w:rPr>
        <w:t xml:space="preserve"> </w:t>
      </w:r>
      <w:r w:rsidRPr="00C85109">
        <w:rPr>
          <w:rFonts w:asciiTheme="minorHAnsi" w:hAnsiTheme="minorHAnsi" w:cstheme="minorHAnsi"/>
          <w:i/>
          <w:iCs/>
          <w:sz w:val="21"/>
          <w:szCs w:val="21"/>
        </w:rPr>
        <w:t>35</w:t>
      </w:r>
      <w:r w:rsidR="00621D54" w:rsidRPr="00C85109">
        <w:rPr>
          <w:rFonts w:asciiTheme="minorHAnsi" w:hAnsiTheme="minorHAnsi" w:cstheme="minorHAnsi"/>
          <w:sz w:val="21"/>
          <w:szCs w:val="21"/>
        </w:rPr>
        <w:t>(</w:t>
      </w:r>
      <w:r w:rsidRPr="00C85109">
        <w:rPr>
          <w:rFonts w:asciiTheme="minorHAnsi" w:hAnsiTheme="minorHAnsi" w:cstheme="minorHAnsi"/>
          <w:sz w:val="21"/>
          <w:szCs w:val="21"/>
        </w:rPr>
        <w:t>2</w:t>
      </w:r>
      <w:r w:rsidR="00621D54" w:rsidRPr="00C85109">
        <w:rPr>
          <w:rFonts w:asciiTheme="minorHAnsi" w:hAnsiTheme="minorHAnsi" w:cstheme="minorHAnsi"/>
          <w:sz w:val="21"/>
          <w:szCs w:val="21"/>
        </w:rPr>
        <w:t>)</w:t>
      </w:r>
      <w:r w:rsidRPr="00C85109">
        <w:rPr>
          <w:rFonts w:asciiTheme="minorHAnsi" w:hAnsiTheme="minorHAnsi" w:cstheme="minorHAnsi"/>
          <w:sz w:val="21"/>
          <w:szCs w:val="21"/>
        </w:rPr>
        <w:t>,</w:t>
      </w:r>
      <w:r w:rsidR="00621D54" w:rsidRPr="00C85109">
        <w:rPr>
          <w:rFonts w:asciiTheme="minorHAnsi" w:hAnsiTheme="minorHAnsi" w:cstheme="minorHAnsi"/>
          <w:sz w:val="21"/>
          <w:szCs w:val="21"/>
        </w:rPr>
        <w:t xml:space="preserve"> </w:t>
      </w:r>
      <w:r w:rsidRPr="00C85109">
        <w:rPr>
          <w:rFonts w:asciiTheme="minorHAnsi" w:hAnsiTheme="minorHAnsi" w:cstheme="minorHAnsi"/>
          <w:sz w:val="21"/>
          <w:szCs w:val="21"/>
        </w:rPr>
        <w:t>107</w:t>
      </w:r>
      <w:r w:rsidR="00621D54" w:rsidRPr="00C85109">
        <w:rPr>
          <w:rFonts w:asciiTheme="minorHAnsi" w:hAnsiTheme="minorHAnsi" w:cstheme="minorHAnsi"/>
          <w:sz w:val="21"/>
          <w:szCs w:val="21"/>
        </w:rPr>
        <w:t>-</w:t>
      </w:r>
      <w:r w:rsidRPr="00C85109">
        <w:rPr>
          <w:rFonts w:asciiTheme="minorHAnsi" w:hAnsiTheme="minorHAnsi" w:cstheme="minorHAnsi"/>
          <w:sz w:val="21"/>
          <w:szCs w:val="21"/>
        </w:rPr>
        <w:t>16.</w:t>
      </w:r>
      <w:r w:rsidR="008E5142" w:rsidRPr="00C85109">
        <w:rPr>
          <w:rFonts w:asciiTheme="minorHAnsi" w:hAnsiTheme="minorHAnsi" w:cstheme="minorHAnsi"/>
          <w:sz w:val="21"/>
          <w:szCs w:val="21"/>
        </w:rPr>
        <w:t xml:space="preserve"> https://doi.org/10.3233/JVR-2011-0558</w:t>
      </w:r>
    </w:p>
    <w:p w14:paraId="0CFAC8D2" w14:textId="3C9A4A23" w:rsidR="00AB2647" w:rsidRPr="00C377C2" w:rsidRDefault="00AB2647" w:rsidP="00AB2647">
      <w:pPr>
        <w:pStyle w:val="References"/>
        <w:spacing w:before="0" w:after="120" w:line="276" w:lineRule="auto"/>
        <w:ind w:left="850" w:right="-374" w:hanging="493"/>
        <w:rPr>
          <w:rFonts w:asciiTheme="minorHAnsi" w:hAnsiTheme="minorHAnsi" w:cstheme="minorHAnsi"/>
          <w:sz w:val="21"/>
          <w:szCs w:val="21"/>
        </w:rPr>
      </w:pPr>
      <w:r w:rsidRPr="00AB2647">
        <w:rPr>
          <w:rFonts w:asciiTheme="minorHAnsi" w:hAnsiTheme="minorHAnsi" w:cstheme="minorHAnsi"/>
          <w:sz w:val="21"/>
          <w:szCs w:val="21"/>
        </w:rPr>
        <w:t xml:space="preserve">Lewis, G., </w:t>
      </w:r>
      <w:proofErr w:type="spellStart"/>
      <w:r w:rsidRPr="00AB2647">
        <w:rPr>
          <w:rFonts w:asciiTheme="minorHAnsi" w:hAnsiTheme="minorHAnsi" w:cstheme="minorHAnsi"/>
          <w:sz w:val="21"/>
          <w:szCs w:val="21"/>
        </w:rPr>
        <w:t>Thoresen</w:t>
      </w:r>
      <w:proofErr w:type="spellEnd"/>
      <w:r w:rsidRPr="00AB2647">
        <w:rPr>
          <w:rFonts w:asciiTheme="minorHAnsi" w:hAnsiTheme="minorHAnsi" w:cstheme="minorHAnsi"/>
          <w:sz w:val="21"/>
          <w:szCs w:val="21"/>
        </w:rPr>
        <w:t xml:space="preserve">, S. &amp; Cocks, E. (2011b). Successful approaches to placing and supporting apprentices and trainees with disability in Australia. </w:t>
      </w:r>
      <w:r w:rsidRPr="00AB2647">
        <w:rPr>
          <w:rFonts w:asciiTheme="minorHAnsi" w:hAnsiTheme="minorHAnsi" w:cstheme="minorHAnsi"/>
          <w:i/>
          <w:sz w:val="21"/>
          <w:szCs w:val="21"/>
        </w:rPr>
        <w:t>Journal of Vocational Rehabilitation</w:t>
      </w:r>
      <w:r w:rsidRPr="00AB2647">
        <w:rPr>
          <w:rFonts w:asciiTheme="minorHAnsi" w:hAnsiTheme="minorHAnsi" w:cstheme="minorHAnsi"/>
          <w:sz w:val="21"/>
          <w:szCs w:val="21"/>
        </w:rPr>
        <w:t xml:space="preserve">. </w:t>
      </w:r>
      <w:r w:rsidRPr="00AB2647">
        <w:rPr>
          <w:rFonts w:asciiTheme="minorHAnsi" w:hAnsiTheme="minorHAnsi" w:cstheme="minorHAnsi"/>
          <w:i/>
          <w:sz w:val="21"/>
          <w:szCs w:val="21"/>
        </w:rPr>
        <w:t>34</w:t>
      </w:r>
      <w:r w:rsidRPr="00AB2647">
        <w:rPr>
          <w:rFonts w:asciiTheme="minorHAnsi" w:hAnsiTheme="minorHAnsi" w:cstheme="minorHAnsi"/>
          <w:sz w:val="21"/>
          <w:szCs w:val="21"/>
        </w:rPr>
        <w:t>(3), 181-189</w:t>
      </w:r>
      <w:r w:rsidRPr="001F6371">
        <w:rPr>
          <w:rFonts w:asciiTheme="minorHAnsi" w:hAnsiTheme="minorHAnsi" w:cstheme="minorHAnsi"/>
          <w:color w:val="595959"/>
          <w:sz w:val="21"/>
          <w:szCs w:val="21"/>
        </w:rPr>
        <w:t>.</w:t>
      </w:r>
      <w:r w:rsidR="00D867F6">
        <w:rPr>
          <w:rFonts w:asciiTheme="minorHAnsi" w:hAnsiTheme="minorHAnsi" w:cstheme="minorHAnsi"/>
          <w:color w:val="595959"/>
          <w:sz w:val="21"/>
          <w:szCs w:val="21"/>
        </w:rPr>
        <w:t xml:space="preserve"> </w:t>
      </w:r>
    </w:p>
    <w:p w14:paraId="14C6CA74" w14:textId="77777777" w:rsidR="00FE132B" w:rsidRPr="00C85109" w:rsidRDefault="00FE132B" w:rsidP="00FE132B">
      <w:pPr>
        <w:pStyle w:val="References"/>
        <w:spacing w:before="0" w:after="120" w:line="276" w:lineRule="auto"/>
        <w:ind w:left="851" w:right="-374" w:hanging="491"/>
        <w:rPr>
          <w:rFonts w:asciiTheme="minorHAnsi" w:hAnsiTheme="minorHAnsi" w:cstheme="minorHAnsi"/>
          <w:sz w:val="21"/>
          <w:szCs w:val="21"/>
        </w:rPr>
      </w:pPr>
      <w:r w:rsidRPr="00C85109">
        <w:rPr>
          <w:rFonts w:asciiTheme="minorHAnsi" w:hAnsiTheme="minorHAnsi" w:cstheme="minorHAnsi"/>
          <w:sz w:val="21"/>
          <w:szCs w:val="21"/>
        </w:rPr>
        <w:t xml:space="preserve">Lindsay, S., Hartman, L. R., &amp; Fellin, M. (2016). A systematic review of mentorship programs to facilitate transition to post-secondary education and employment for youth and young adults with disabilities. </w:t>
      </w:r>
      <w:r w:rsidRPr="00C85109">
        <w:rPr>
          <w:rFonts w:asciiTheme="minorHAnsi" w:hAnsiTheme="minorHAnsi" w:cstheme="minorHAnsi"/>
          <w:i/>
          <w:iCs/>
          <w:sz w:val="21"/>
          <w:szCs w:val="21"/>
        </w:rPr>
        <w:t>Disability and Rehabilitation</w:t>
      </w:r>
      <w:r w:rsidRPr="00C85109">
        <w:rPr>
          <w:rFonts w:asciiTheme="minorHAnsi" w:hAnsiTheme="minorHAnsi" w:cstheme="minorHAnsi"/>
          <w:sz w:val="21"/>
          <w:szCs w:val="21"/>
        </w:rPr>
        <w:t xml:space="preserve">, </w:t>
      </w:r>
      <w:r w:rsidRPr="00C85109">
        <w:rPr>
          <w:rFonts w:asciiTheme="minorHAnsi" w:hAnsiTheme="minorHAnsi" w:cstheme="minorHAnsi"/>
          <w:i/>
          <w:iCs/>
          <w:sz w:val="21"/>
          <w:szCs w:val="21"/>
        </w:rPr>
        <w:t>38</w:t>
      </w:r>
      <w:r w:rsidRPr="00C85109">
        <w:rPr>
          <w:rFonts w:asciiTheme="minorHAnsi" w:hAnsiTheme="minorHAnsi" w:cstheme="minorHAnsi"/>
          <w:sz w:val="21"/>
          <w:szCs w:val="21"/>
        </w:rPr>
        <w:t>(14), 1329-1349. https://doi.org/10.3109/09638288.2015.1092174</w:t>
      </w:r>
    </w:p>
    <w:p w14:paraId="1742F6AC" w14:textId="3E1C3B1F" w:rsidR="00E35816" w:rsidRPr="00C85109" w:rsidRDefault="00E35816" w:rsidP="00CE427B">
      <w:pPr>
        <w:pStyle w:val="References"/>
        <w:spacing w:after="120" w:line="276" w:lineRule="auto"/>
        <w:ind w:left="851" w:right="-374" w:hanging="491"/>
        <w:rPr>
          <w:rFonts w:asciiTheme="minorHAnsi" w:hAnsiTheme="minorHAnsi" w:cstheme="minorHAnsi"/>
          <w:sz w:val="21"/>
          <w:szCs w:val="21"/>
        </w:rPr>
      </w:pPr>
      <w:r w:rsidRPr="00C85109">
        <w:rPr>
          <w:rFonts w:asciiTheme="minorHAnsi" w:hAnsiTheme="minorHAnsi" w:cstheme="minorHAnsi"/>
          <w:sz w:val="21"/>
          <w:szCs w:val="21"/>
        </w:rPr>
        <w:t xml:space="preserve">Lindsay, S., McDougall, C., Menna-Dack, D., Sanford, R., &amp; Adams, T. (2015). An ecological approach to understanding barriers to employment for youth with disabilities compared to their typically developing peers: Views of youth, employers, and job </w:t>
      </w:r>
      <w:proofErr w:type="spellStart"/>
      <w:r w:rsidRPr="00C85109">
        <w:rPr>
          <w:rFonts w:asciiTheme="minorHAnsi" w:hAnsiTheme="minorHAnsi" w:cstheme="minorHAnsi"/>
          <w:sz w:val="21"/>
          <w:szCs w:val="21"/>
        </w:rPr>
        <w:t>counselors</w:t>
      </w:r>
      <w:proofErr w:type="spellEnd"/>
      <w:r w:rsidRPr="00C85109">
        <w:rPr>
          <w:rFonts w:asciiTheme="minorHAnsi" w:hAnsiTheme="minorHAnsi" w:cstheme="minorHAnsi"/>
          <w:sz w:val="21"/>
          <w:szCs w:val="21"/>
        </w:rPr>
        <w:t xml:space="preserve">. </w:t>
      </w:r>
      <w:r w:rsidRPr="00C85109">
        <w:rPr>
          <w:rFonts w:asciiTheme="minorHAnsi" w:hAnsiTheme="minorHAnsi" w:cstheme="minorHAnsi"/>
          <w:i/>
          <w:iCs/>
          <w:sz w:val="21"/>
          <w:szCs w:val="21"/>
        </w:rPr>
        <w:t>Disability and Rehabilitation</w:t>
      </w:r>
      <w:r w:rsidRPr="00C85109">
        <w:rPr>
          <w:rFonts w:asciiTheme="minorHAnsi" w:hAnsiTheme="minorHAnsi" w:cstheme="minorHAnsi"/>
          <w:sz w:val="21"/>
          <w:szCs w:val="21"/>
        </w:rPr>
        <w:t xml:space="preserve">, </w:t>
      </w:r>
      <w:r w:rsidRPr="00C85109">
        <w:rPr>
          <w:rFonts w:asciiTheme="minorHAnsi" w:hAnsiTheme="minorHAnsi" w:cstheme="minorHAnsi"/>
          <w:i/>
          <w:iCs/>
          <w:sz w:val="21"/>
          <w:szCs w:val="21"/>
        </w:rPr>
        <w:t>37</w:t>
      </w:r>
      <w:r w:rsidRPr="00C85109">
        <w:rPr>
          <w:rFonts w:asciiTheme="minorHAnsi" w:hAnsiTheme="minorHAnsi" w:cstheme="minorHAnsi"/>
          <w:sz w:val="21"/>
          <w:szCs w:val="21"/>
        </w:rPr>
        <w:t xml:space="preserve">(8), 701-711. </w:t>
      </w:r>
      <w:r w:rsidR="007D3804" w:rsidRPr="00C85109">
        <w:rPr>
          <w:rFonts w:asciiTheme="minorHAnsi" w:hAnsiTheme="minorHAnsi" w:cstheme="minorHAnsi"/>
          <w:sz w:val="21"/>
          <w:szCs w:val="21"/>
        </w:rPr>
        <w:t>https://doi.org/10.3109/09638288.2014.939775</w:t>
      </w:r>
    </w:p>
    <w:bookmarkEnd w:id="196"/>
    <w:p w14:paraId="6DD3CD32" w14:textId="09C0829D" w:rsidR="00E35816" w:rsidRPr="00C85109" w:rsidRDefault="00E35816" w:rsidP="00CE427B">
      <w:pPr>
        <w:pStyle w:val="EndNoteBibliography"/>
        <w:spacing w:after="120" w:line="276" w:lineRule="auto"/>
        <w:ind w:left="851" w:hanging="491"/>
        <w:rPr>
          <w:rStyle w:val="Hyperlink"/>
          <w:rFonts w:asciiTheme="minorHAnsi" w:hAnsiTheme="minorHAnsi" w:cstheme="minorHAnsi"/>
          <w:noProof w:val="0"/>
          <w:color w:val="auto"/>
          <w:sz w:val="21"/>
          <w:szCs w:val="21"/>
          <w:u w:val="none"/>
          <w:lang w:val="en-AU" w:eastAsia="en-US"/>
        </w:rPr>
      </w:pPr>
      <w:r w:rsidRPr="00C85109">
        <w:rPr>
          <w:rFonts w:asciiTheme="minorHAnsi" w:hAnsiTheme="minorHAnsi" w:cstheme="minorHAnsi"/>
          <w:sz w:val="21"/>
          <w:szCs w:val="21"/>
        </w:rPr>
        <w:t xml:space="preserve">Lindsay, S., &amp; Munson, M. R. (2018). </w:t>
      </w:r>
      <w:r w:rsidRPr="00C85109">
        <w:rPr>
          <w:rFonts w:asciiTheme="minorHAnsi" w:hAnsiTheme="minorHAnsi" w:cstheme="minorHAnsi"/>
          <w:i/>
          <w:iCs/>
          <w:sz w:val="21"/>
          <w:szCs w:val="21"/>
        </w:rPr>
        <w:t xml:space="preserve">Mentoring </w:t>
      </w:r>
      <w:r w:rsidR="003F0BBD" w:rsidRPr="00C85109">
        <w:rPr>
          <w:rFonts w:asciiTheme="minorHAnsi" w:hAnsiTheme="minorHAnsi" w:cstheme="minorHAnsi"/>
          <w:i/>
          <w:iCs/>
          <w:sz w:val="21"/>
          <w:szCs w:val="21"/>
        </w:rPr>
        <w:t>for youth with disabilities</w:t>
      </w:r>
      <w:r w:rsidRPr="00C85109">
        <w:rPr>
          <w:rFonts w:asciiTheme="minorHAnsi" w:hAnsiTheme="minorHAnsi" w:cstheme="minorHAnsi"/>
          <w:sz w:val="21"/>
          <w:szCs w:val="21"/>
        </w:rPr>
        <w:t xml:space="preserve">. </w:t>
      </w:r>
      <w:r w:rsidR="00C04FC4" w:rsidRPr="00C85109">
        <w:rPr>
          <w:rFonts w:asciiTheme="minorHAnsi" w:hAnsiTheme="minorHAnsi" w:cstheme="minorHAnsi"/>
          <w:sz w:val="21"/>
          <w:szCs w:val="21"/>
        </w:rPr>
        <w:t xml:space="preserve">National Mentoring </w:t>
      </w:r>
      <w:r w:rsidR="001E7CFA" w:rsidRPr="00C85109">
        <w:rPr>
          <w:rFonts w:asciiTheme="minorHAnsi" w:hAnsiTheme="minorHAnsi" w:cstheme="minorHAnsi"/>
          <w:sz w:val="21"/>
          <w:szCs w:val="21"/>
        </w:rPr>
        <w:t xml:space="preserve">Resource Center. </w:t>
      </w:r>
      <w:r w:rsidR="009041C8" w:rsidRPr="00C85109">
        <w:rPr>
          <w:rFonts w:asciiTheme="minorHAnsi" w:hAnsiTheme="minorHAnsi" w:cstheme="minorHAnsi"/>
          <w:sz w:val="21"/>
          <w:szCs w:val="21"/>
        </w:rPr>
        <w:t>http://nationalmentoringresourcecenter.org/images/PDF/Mentoring_for_Youth_with_Disabilities_Population_Review.pdf</w:t>
      </w:r>
    </w:p>
    <w:p w14:paraId="09196092" w14:textId="6F3A16EF" w:rsidR="00E35816" w:rsidRPr="00C85109" w:rsidRDefault="00E35816" w:rsidP="00CE427B">
      <w:pPr>
        <w:autoSpaceDE w:val="0"/>
        <w:autoSpaceDN w:val="0"/>
        <w:adjustRightInd w:val="0"/>
        <w:spacing w:before="0" w:after="120" w:line="276" w:lineRule="auto"/>
        <w:ind w:left="851" w:hanging="491"/>
        <w:rPr>
          <w:rFonts w:asciiTheme="minorHAnsi" w:hAnsiTheme="minorHAnsi" w:cstheme="minorHAnsi"/>
          <w:szCs w:val="21"/>
        </w:rPr>
      </w:pPr>
      <w:proofErr w:type="spellStart"/>
      <w:r w:rsidRPr="00C85109">
        <w:rPr>
          <w:rFonts w:asciiTheme="minorHAnsi" w:hAnsiTheme="minorHAnsi" w:cstheme="minorHAnsi"/>
          <w:szCs w:val="21"/>
        </w:rPr>
        <w:t>Luecking</w:t>
      </w:r>
      <w:proofErr w:type="spellEnd"/>
      <w:r w:rsidRPr="00C85109">
        <w:rPr>
          <w:rFonts w:asciiTheme="minorHAnsi" w:hAnsiTheme="minorHAnsi" w:cstheme="minorHAnsi"/>
          <w:szCs w:val="21"/>
        </w:rPr>
        <w:t xml:space="preserve">, D. M., &amp; </w:t>
      </w:r>
      <w:proofErr w:type="spellStart"/>
      <w:r w:rsidRPr="00C85109">
        <w:rPr>
          <w:rFonts w:asciiTheme="minorHAnsi" w:hAnsiTheme="minorHAnsi" w:cstheme="minorHAnsi"/>
          <w:szCs w:val="21"/>
        </w:rPr>
        <w:t>Luecking</w:t>
      </w:r>
      <w:proofErr w:type="spellEnd"/>
      <w:r w:rsidRPr="00C85109">
        <w:rPr>
          <w:rFonts w:asciiTheme="minorHAnsi" w:hAnsiTheme="minorHAnsi" w:cstheme="minorHAnsi"/>
          <w:szCs w:val="21"/>
        </w:rPr>
        <w:t xml:space="preserve">, R. G. (2006). A </w:t>
      </w:r>
      <w:r w:rsidR="002E20C0" w:rsidRPr="00C85109">
        <w:rPr>
          <w:rFonts w:asciiTheme="minorHAnsi" w:hAnsiTheme="minorHAnsi" w:cstheme="minorHAnsi"/>
          <w:szCs w:val="21"/>
        </w:rPr>
        <w:t>descriptive study of customizing the employment process for job seekers with significant disabilities</w:t>
      </w:r>
      <w:r w:rsidRPr="00C85109">
        <w:rPr>
          <w:rFonts w:asciiTheme="minorHAnsi" w:hAnsiTheme="minorHAnsi" w:cstheme="minorHAnsi"/>
          <w:szCs w:val="21"/>
        </w:rPr>
        <w:t xml:space="preserve">. </w:t>
      </w:r>
      <w:r w:rsidRPr="00C85109">
        <w:rPr>
          <w:rFonts w:asciiTheme="minorHAnsi" w:hAnsiTheme="minorHAnsi" w:cstheme="minorHAnsi"/>
          <w:i/>
          <w:iCs/>
          <w:szCs w:val="21"/>
        </w:rPr>
        <w:t>Journal of Applied Rehabilitation Counseling, 37</w:t>
      </w:r>
      <w:r w:rsidRPr="00C85109">
        <w:rPr>
          <w:rFonts w:asciiTheme="minorHAnsi" w:hAnsiTheme="minorHAnsi" w:cstheme="minorHAnsi"/>
          <w:szCs w:val="21"/>
        </w:rPr>
        <w:t>(4), 14-21.</w:t>
      </w:r>
      <w:bookmarkEnd w:id="195"/>
      <w:r w:rsidR="009C5F81" w:rsidRPr="00C85109">
        <w:rPr>
          <w:rFonts w:asciiTheme="minorHAnsi" w:hAnsiTheme="minorHAnsi" w:cstheme="minorHAnsi"/>
          <w:szCs w:val="21"/>
        </w:rPr>
        <w:t xml:space="preserve"> https://doi.org/10.1891/0047-2220.37.4.14</w:t>
      </w:r>
    </w:p>
    <w:p w14:paraId="2D9A7DA8" w14:textId="283C095B" w:rsidR="00E35816" w:rsidRPr="00C85109" w:rsidRDefault="00E35816" w:rsidP="00CE427B">
      <w:pPr>
        <w:pStyle w:val="EndNoteBibliography"/>
        <w:spacing w:after="120" w:line="276" w:lineRule="auto"/>
        <w:ind w:left="851" w:hanging="491"/>
        <w:rPr>
          <w:rFonts w:asciiTheme="minorHAnsi" w:hAnsiTheme="minorHAnsi" w:cstheme="minorHAnsi"/>
          <w:sz w:val="21"/>
          <w:szCs w:val="21"/>
        </w:rPr>
      </w:pPr>
      <w:bookmarkStart w:id="197" w:name="_Hlk41938073"/>
      <w:r w:rsidRPr="00C85109">
        <w:rPr>
          <w:rFonts w:asciiTheme="minorHAnsi" w:hAnsiTheme="minorHAnsi" w:cstheme="minorHAnsi"/>
          <w:sz w:val="21"/>
          <w:szCs w:val="21"/>
        </w:rPr>
        <w:t>Luecking, D. M., &amp; Luecking, R. G. (201</w:t>
      </w:r>
      <w:r w:rsidR="00535921" w:rsidRPr="00C85109">
        <w:rPr>
          <w:rFonts w:asciiTheme="minorHAnsi" w:hAnsiTheme="minorHAnsi" w:cstheme="minorHAnsi"/>
          <w:sz w:val="21"/>
          <w:szCs w:val="21"/>
        </w:rPr>
        <w:t>5</w:t>
      </w:r>
      <w:r w:rsidRPr="00C85109">
        <w:rPr>
          <w:rFonts w:asciiTheme="minorHAnsi" w:hAnsiTheme="minorHAnsi" w:cstheme="minorHAnsi"/>
          <w:sz w:val="21"/>
          <w:szCs w:val="21"/>
        </w:rPr>
        <w:t xml:space="preserve">). Translating </w:t>
      </w:r>
      <w:r w:rsidR="0036412B" w:rsidRPr="00C85109">
        <w:rPr>
          <w:rFonts w:asciiTheme="minorHAnsi" w:hAnsiTheme="minorHAnsi" w:cstheme="minorHAnsi"/>
          <w:sz w:val="21"/>
          <w:szCs w:val="21"/>
        </w:rPr>
        <w:t xml:space="preserve">research into a seamless transition model. </w:t>
      </w:r>
      <w:r w:rsidRPr="00C85109">
        <w:rPr>
          <w:rFonts w:asciiTheme="minorHAnsi" w:hAnsiTheme="minorHAnsi" w:cstheme="minorHAnsi"/>
          <w:i/>
          <w:sz w:val="21"/>
          <w:szCs w:val="21"/>
        </w:rPr>
        <w:t>Career Development and Transition for Exceptional Individuals, 38</w:t>
      </w:r>
      <w:r w:rsidRPr="00C85109">
        <w:rPr>
          <w:rFonts w:asciiTheme="minorHAnsi" w:hAnsiTheme="minorHAnsi" w:cstheme="minorHAnsi"/>
          <w:sz w:val="21"/>
          <w:szCs w:val="21"/>
        </w:rPr>
        <w:t xml:space="preserve">(1), 4-13. </w:t>
      </w:r>
      <w:r w:rsidR="00010CCC" w:rsidRPr="00C85109">
        <w:rPr>
          <w:rFonts w:asciiTheme="minorHAnsi" w:hAnsiTheme="minorHAnsi" w:cstheme="minorHAnsi"/>
          <w:sz w:val="21"/>
          <w:szCs w:val="21"/>
        </w:rPr>
        <w:t>https://doi.org/10.1177/2165143413508978</w:t>
      </w:r>
    </w:p>
    <w:bookmarkEnd w:id="197"/>
    <w:p w14:paraId="1AD36DDA" w14:textId="21A33887" w:rsidR="00E35816" w:rsidRPr="00C85109" w:rsidRDefault="00E35816" w:rsidP="00CE427B">
      <w:pPr>
        <w:autoSpaceDE w:val="0"/>
        <w:autoSpaceDN w:val="0"/>
        <w:adjustRightInd w:val="0"/>
        <w:spacing w:before="0" w:after="120" w:line="276" w:lineRule="auto"/>
        <w:ind w:left="851" w:hanging="491"/>
        <w:rPr>
          <w:rFonts w:asciiTheme="minorHAnsi" w:hAnsiTheme="minorHAnsi" w:cstheme="minorHAnsi"/>
          <w:szCs w:val="21"/>
        </w:rPr>
      </w:pPr>
      <w:r w:rsidRPr="00C85109">
        <w:rPr>
          <w:rFonts w:asciiTheme="minorHAnsi" w:hAnsiTheme="minorHAnsi" w:cstheme="minorHAnsi"/>
          <w:szCs w:val="21"/>
        </w:rPr>
        <w:t xml:space="preserve">Lysaght, R., </w:t>
      </w:r>
      <w:proofErr w:type="spellStart"/>
      <w:r w:rsidRPr="00C85109">
        <w:rPr>
          <w:rFonts w:asciiTheme="minorHAnsi" w:hAnsiTheme="minorHAnsi" w:cstheme="minorHAnsi"/>
          <w:szCs w:val="21"/>
        </w:rPr>
        <w:t>Petner-Arrey</w:t>
      </w:r>
      <w:proofErr w:type="spellEnd"/>
      <w:r w:rsidRPr="00C85109">
        <w:rPr>
          <w:rFonts w:asciiTheme="minorHAnsi" w:hAnsiTheme="minorHAnsi" w:cstheme="minorHAnsi"/>
          <w:szCs w:val="21"/>
        </w:rPr>
        <w:t xml:space="preserve">, J., Howell-Moneta, A., &amp; </w:t>
      </w:r>
      <w:proofErr w:type="spellStart"/>
      <w:r w:rsidRPr="00C85109">
        <w:rPr>
          <w:rFonts w:asciiTheme="minorHAnsi" w:hAnsiTheme="minorHAnsi" w:cstheme="minorHAnsi"/>
          <w:szCs w:val="21"/>
        </w:rPr>
        <w:t>Cobigo</w:t>
      </w:r>
      <w:proofErr w:type="spellEnd"/>
      <w:r w:rsidRPr="00C85109">
        <w:rPr>
          <w:rFonts w:asciiTheme="minorHAnsi" w:hAnsiTheme="minorHAnsi" w:cstheme="minorHAnsi"/>
          <w:szCs w:val="21"/>
        </w:rPr>
        <w:t xml:space="preserve">, V. (2017). Inclusion </w:t>
      </w:r>
      <w:r w:rsidR="0036412B" w:rsidRPr="00C85109">
        <w:rPr>
          <w:rFonts w:asciiTheme="minorHAnsi" w:hAnsiTheme="minorHAnsi" w:cstheme="minorHAnsi"/>
          <w:szCs w:val="21"/>
        </w:rPr>
        <w:t>through work and productivity for persons with intellectual and developmental disabilities</w:t>
      </w:r>
      <w:r w:rsidRPr="00C85109">
        <w:rPr>
          <w:rFonts w:asciiTheme="minorHAnsi" w:hAnsiTheme="minorHAnsi" w:cstheme="minorHAnsi"/>
          <w:szCs w:val="21"/>
        </w:rPr>
        <w:t xml:space="preserve">. </w:t>
      </w:r>
      <w:r w:rsidRPr="00C85109">
        <w:rPr>
          <w:rFonts w:asciiTheme="minorHAnsi" w:hAnsiTheme="minorHAnsi" w:cstheme="minorHAnsi"/>
          <w:i/>
          <w:iCs/>
          <w:szCs w:val="21"/>
        </w:rPr>
        <w:t xml:space="preserve">Journal </w:t>
      </w:r>
      <w:r w:rsidR="0036412B" w:rsidRPr="00C85109">
        <w:rPr>
          <w:rFonts w:asciiTheme="minorHAnsi" w:hAnsiTheme="minorHAnsi" w:cstheme="minorHAnsi"/>
          <w:i/>
          <w:iCs/>
          <w:szCs w:val="21"/>
        </w:rPr>
        <w:t>o</w:t>
      </w:r>
      <w:r w:rsidRPr="00C85109">
        <w:rPr>
          <w:rFonts w:asciiTheme="minorHAnsi" w:hAnsiTheme="minorHAnsi" w:cstheme="minorHAnsi"/>
          <w:i/>
          <w:iCs/>
          <w:szCs w:val="21"/>
        </w:rPr>
        <w:t xml:space="preserve">f Applied Research </w:t>
      </w:r>
      <w:r w:rsidR="0036412B" w:rsidRPr="00C85109">
        <w:rPr>
          <w:rFonts w:asciiTheme="minorHAnsi" w:hAnsiTheme="minorHAnsi" w:cstheme="minorHAnsi"/>
          <w:i/>
          <w:iCs/>
          <w:szCs w:val="21"/>
        </w:rPr>
        <w:t>i</w:t>
      </w:r>
      <w:r w:rsidRPr="00C85109">
        <w:rPr>
          <w:rFonts w:asciiTheme="minorHAnsi" w:hAnsiTheme="minorHAnsi" w:cstheme="minorHAnsi"/>
          <w:i/>
          <w:iCs/>
          <w:szCs w:val="21"/>
        </w:rPr>
        <w:t>n Intellectual Disabilities, 30</w:t>
      </w:r>
      <w:r w:rsidRPr="00C85109">
        <w:rPr>
          <w:rFonts w:asciiTheme="minorHAnsi" w:hAnsiTheme="minorHAnsi" w:cstheme="minorHAnsi"/>
          <w:szCs w:val="21"/>
        </w:rPr>
        <w:t xml:space="preserve">(5), 922-935. </w:t>
      </w:r>
      <w:r w:rsidR="007345B1" w:rsidRPr="00C85109">
        <w:rPr>
          <w:rFonts w:asciiTheme="minorHAnsi" w:hAnsiTheme="minorHAnsi" w:cstheme="minorHAnsi"/>
          <w:szCs w:val="21"/>
        </w:rPr>
        <w:t>https://doi.org/10.1111/jar.12284</w:t>
      </w:r>
    </w:p>
    <w:p w14:paraId="3C29F32D" w14:textId="5ABC7B58" w:rsidR="00E35816" w:rsidRPr="00C85109" w:rsidRDefault="00E35816" w:rsidP="00CE427B">
      <w:pPr>
        <w:pStyle w:val="EndNoteBibliography"/>
        <w:spacing w:after="120" w:line="276" w:lineRule="auto"/>
        <w:ind w:left="851" w:hanging="491"/>
        <w:rPr>
          <w:rFonts w:asciiTheme="minorHAnsi" w:hAnsiTheme="minorHAnsi" w:cstheme="minorHAnsi"/>
          <w:sz w:val="21"/>
          <w:szCs w:val="21"/>
        </w:rPr>
      </w:pPr>
      <w:bookmarkStart w:id="198" w:name="_Hlk41246003"/>
      <w:r w:rsidRPr="00C85109">
        <w:rPr>
          <w:rFonts w:asciiTheme="minorHAnsi" w:hAnsiTheme="minorHAnsi" w:cstheme="minorHAnsi"/>
          <w:sz w:val="21"/>
          <w:szCs w:val="21"/>
        </w:rPr>
        <w:lastRenderedPageBreak/>
        <w:t xml:space="preserve">Martinez, D. C., Conroy, J. W., &amp; Cerreto, </w:t>
      </w:r>
      <w:r w:rsidR="004D113A" w:rsidRPr="00C85109">
        <w:rPr>
          <w:rFonts w:asciiTheme="minorHAnsi" w:hAnsiTheme="minorHAnsi" w:cstheme="minorHAnsi"/>
          <w:sz w:val="21"/>
          <w:szCs w:val="21"/>
        </w:rPr>
        <w:t>M</w:t>
      </w:r>
      <w:r w:rsidRPr="00C85109">
        <w:rPr>
          <w:rFonts w:asciiTheme="minorHAnsi" w:hAnsiTheme="minorHAnsi" w:cstheme="minorHAnsi"/>
          <w:sz w:val="21"/>
          <w:szCs w:val="21"/>
        </w:rPr>
        <w:t xml:space="preserve">. C. (2012). Parent </w:t>
      </w:r>
      <w:r w:rsidR="0036412B" w:rsidRPr="00C85109">
        <w:rPr>
          <w:rFonts w:asciiTheme="minorHAnsi" w:hAnsiTheme="minorHAnsi" w:cstheme="minorHAnsi"/>
          <w:sz w:val="21"/>
          <w:szCs w:val="21"/>
        </w:rPr>
        <w:t>involvement in the transition process of children with intellectual disabilities</w:t>
      </w:r>
      <w:r w:rsidRPr="00C85109">
        <w:rPr>
          <w:rFonts w:asciiTheme="minorHAnsi" w:hAnsiTheme="minorHAnsi" w:cstheme="minorHAnsi"/>
          <w:sz w:val="21"/>
          <w:szCs w:val="21"/>
        </w:rPr>
        <w:t xml:space="preserve">: The </w:t>
      </w:r>
      <w:r w:rsidR="0036412B" w:rsidRPr="00C85109">
        <w:rPr>
          <w:rFonts w:asciiTheme="minorHAnsi" w:hAnsiTheme="minorHAnsi" w:cstheme="minorHAnsi"/>
          <w:sz w:val="21"/>
          <w:szCs w:val="21"/>
        </w:rPr>
        <w:t>inﬂuence of inclusion on parent desires and expectations for postsecondary education.</w:t>
      </w:r>
      <w:r w:rsidRPr="00C85109">
        <w:rPr>
          <w:rFonts w:asciiTheme="minorHAnsi" w:hAnsiTheme="minorHAnsi" w:cstheme="minorHAnsi"/>
          <w:sz w:val="21"/>
          <w:szCs w:val="21"/>
        </w:rPr>
        <w:t xml:space="preserve"> </w:t>
      </w:r>
      <w:r w:rsidRPr="00C85109">
        <w:rPr>
          <w:rFonts w:asciiTheme="minorHAnsi" w:hAnsiTheme="minorHAnsi" w:cstheme="minorHAnsi"/>
          <w:i/>
          <w:sz w:val="21"/>
          <w:szCs w:val="21"/>
        </w:rPr>
        <w:t xml:space="preserve">Journal of Policy </w:t>
      </w:r>
      <w:r w:rsidR="00F3307D" w:rsidRPr="00C85109">
        <w:rPr>
          <w:rFonts w:asciiTheme="minorHAnsi" w:hAnsiTheme="minorHAnsi" w:cstheme="minorHAnsi"/>
          <w:i/>
          <w:sz w:val="21"/>
          <w:szCs w:val="21"/>
        </w:rPr>
        <w:t>and</w:t>
      </w:r>
      <w:r w:rsidRPr="00C85109">
        <w:rPr>
          <w:rFonts w:asciiTheme="minorHAnsi" w:hAnsiTheme="minorHAnsi" w:cstheme="minorHAnsi"/>
          <w:i/>
          <w:sz w:val="21"/>
          <w:szCs w:val="21"/>
        </w:rPr>
        <w:t xml:space="preserve"> Practice in Intellectual Disabilities, 9</w:t>
      </w:r>
      <w:r w:rsidRPr="00C85109">
        <w:rPr>
          <w:rFonts w:asciiTheme="minorHAnsi" w:hAnsiTheme="minorHAnsi" w:cstheme="minorHAnsi"/>
          <w:sz w:val="21"/>
          <w:szCs w:val="21"/>
        </w:rPr>
        <w:t xml:space="preserve">(4), 279-288. </w:t>
      </w:r>
      <w:r w:rsidR="000034BE" w:rsidRPr="00C85109">
        <w:rPr>
          <w:rFonts w:asciiTheme="minorHAnsi" w:hAnsiTheme="minorHAnsi" w:cstheme="minorHAnsi"/>
          <w:sz w:val="21"/>
          <w:szCs w:val="21"/>
        </w:rPr>
        <w:t>https://doi.org/10.1111/jppi.12000</w:t>
      </w:r>
    </w:p>
    <w:bookmarkEnd w:id="198"/>
    <w:p w14:paraId="3062DAEB" w14:textId="497F5228" w:rsidR="00E35816" w:rsidRPr="00C85109" w:rsidRDefault="00E35816" w:rsidP="00CE427B">
      <w:pPr>
        <w:spacing w:before="0" w:after="120" w:line="276" w:lineRule="auto"/>
        <w:ind w:left="851" w:hanging="491"/>
        <w:rPr>
          <w:rFonts w:asciiTheme="minorHAnsi" w:hAnsiTheme="minorHAnsi" w:cstheme="minorHAnsi"/>
          <w:szCs w:val="21"/>
        </w:rPr>
      </w:pPr>
      <w:r w:rsidRPr="00C85109">
        <w:rPr>
          <w:rFonts w:asciiTheme="minorHAnsi" w:hAnsiTheme="minorHAnsi" w:cstheme="minorHAnsi"/>
          <w:szCs w:val="21"/>
        </w:rPr>
        <w:t>McLaren, J.</w:t>
      </w:r>
      <w:r w:rsidR="00D46ABA" w:rsidRPr="00C85109">
        <w:rPr>
          <w:rFonts w:asciiTheme="minorHAnsi" w:hAnsiTheme="minorHAnsi" w:cstheme="minorHAnsi"/>
          <w:szCs w:val="21"/>
        </w:rPr>
        <w:t>,</w:t>
      </w:r>
      <w:r w:rsidRPr="00C85109">
        <w:rPr>
          <w:rFonts w:asciiTheme="minorHAnsi" w:hAnsiTheme="minorHAnsi" w:cstheme="minorHAnsi"/>
          <w:szCs w:val="21"/>
        </w:rPr>
        <w:t xml:space="preserve"> Lichtenstein, J.</w:t>
      </w:r>
      <w:r w:rsidR="00B44947" w:rsidRPr="00C85109">
        <w:rPr>
          <w:rFonts w:asciiTheme="minorHAnsi" w:hAnsiTheme="minorHAnsi" w:cstheme="minorHAnsi"/>
          <w:szCs w:val="21"/>
        </w:rPr>
        <w:t xml:space="preserve"> D.</w:t>
      </w:r>
      <w:r w:rsidR="00D46ABA" w:rsidRPr="00C85109">
        <w:rPr>
          <w:rFonts w:asciiTheme="minorHAnsi" w:hAnsiTheme="minorHAnsi" w:cstheme="minorHAnsi"/>
          <w:szCs w:val="21"/>
        </w:rPr>
        <w:t>,</w:t>
      </w:r>
      <w:r w:rsidRPr="00C85109">
        <w:rPr>
          <w:rFonts w:asciiTheme="minorHAnsi" w:hAnsiTheme="minorHAnsi" w:cstheme="minorHAnsi"/>
          <w:szCs w:val="21"/>
        </w:rPr>
        <w:t xml:space="preserve"> Lynch, D.</w:t>
      </w:r>
      <w:r w:rsidR="00D46ABA" w:rsidRPr="00C85109">
        <w:rPr>
          <w:rFonts w:asciiTheme="minorHAnsi" w:hAnsiTheme="minorHAnsi" w:cstheme="minorHAnsi"/>
          <w:szCs w:val="21"/>
        </w:rPr>
        <w:t>,</w:t>
      </w:r>
      <w:r w:rsidRPr="00C85109">
        <w:rPr>
          <w:rFonts w:asciiTheme="minorHAnsi" w:hAnsiTheme="minorHAnsi" w:cstheme="minorHAnsi"/>
          <w:szCs w:val="21"/>
        </w:rPr>
        <w:t xml:space="preserve"> Becker, D.</w:t>
      </w:r>
      <w:r w:rsidR="00D46ABA" w:rsidRPr="00C85109">
        <w:rPr>
          <w:rFonts w:asciiTheme="minorHAnsi" w:hAnsiTheme="minorHAnsi" w:cstheme="minorHAnsi"/>
          <w:szCs w:val="21"/>
        </w:rPr>
        <w:t>,</w:t>
      </w:r>
      <w:r w:rsidRPr="00C85109">
        <w:rPr>
          <w:rFonts w:asciiTheme="minorHAnsi" w:hAnsiTheme="minorHAnsi" w:cstheme="minorHAnsi"/>
          <w:szCs w:val="21"/>
        </w:rPr>
        <w:t xml:space="preserve"> &amp; Drake, R. (2017). Individual </w:t>
      </w:r>
      <w:r w:rsidR="00D46ABA" w:rsidRPr="00C85109">
        <w:rPr>
          <w:rFonts w:asciiTheme="minorHAnsi" w:hAnsiTheme="minorHAnsi" w:cstheme="minorHAnsi"/>
          <w:szCs w:val="21"/>
        </w:rPr>
        <w:t>placement and support for people with autism spectrum disorders</w:t>
      </w:r>
      <w:r w:rsidRPr="00C85109">
        <w:rPr>
          <w:rFonts w:asciiTheme="minorHAnsi" w:hAnsiTheme="minorHAnsi" w:cstheme="minorHAnsi"/>
          <w:szCs w:val="21"/>
        </w:rPr>
        <w:t xml:space="preserve">: A </w:t>
      </w:r>
      <w:r w:rsidR="00D46ABA" w:rsidRPr="00C85109">
        <w:rPr>
          <w:rFonts w:asciiTheme="minorHAnsi" w:hAnsiTheme="minorHAnsi" w:cstheme="minorHAnsi"/>
          <w:szCs w:val="21"/>
        </w:rPr>
        <w:t>pilot program.</w:t>
      </w:r>
      <w:r w:rsidRPr="00C85109">
        <w:rPr>
          <w:rFonts w:asciiTheme="minorHAnsi" w:hAnsiTheme="minorHAnsi" w:cstheme="minorHAnsi"/>
          <w:szCs w:val="21"/>
        </w:rPr>
        <w:t xml:space="preserve"> </w:t>
      </w:r>
      <w:r w:rsidR="00C97AB6" w:rsidRPr="00C85109">
        <w:rPr>
          <w:rFonts w:asciiTheme="minorHAnsi" w:hAnsiTheme="minorHAnsi" w:cstheme="minorHAnsi"/>
          <w:i/>
          <w:iCs/>
          <w:szCs w:val="21"/>
        </w:rPr>
        <w:t>Administration and Policy in Mental Health and Mental Health Services Research</w:t>
      </w:r>
      <w:r w:rsidRPr="00C85109">
        <w:rPr>
          <w:rFonts w:asciiTheme="minorHAnsi" w:hAnsiTheme="minorHAnsi" w:cstheme="minorHAnsi"/>
          <w:szCs w:val="21"/>
        </w:rPr>
        <w:t xml:space="preserve">, </w:t>
      </w:r>
      <w:r w:rsidRPr="00C85109">
        <w:rPr>
          <w:rFonts w:asciiTheme="minorHAnsi" w:hAnsiTheme="minorHAnsi" w:cstheme="minorHAnsi"/>
          <w:i/>
          <w:iCs/>
          <w:szCs w:val="21"/>
        </w:rPr>
        <w:t>44</w:t>
      </w:r>
      <w:r w:rsidR="00B84904" w:rsidRPr="00C85109">
        <w:rPr>
          <w:rFonts w:asciiTheme="minorHAnsi" w:hAnsiTheme="minorHAnsi" w:cstheme="minorHAnsi"/>
          <w:szCs w:val="21"/>
        </w:rPr>
        <w:t>(3)</w:t>
      </w:r>
      <w:r w:rsidR="001B0316" w:rsidRPr="00C85109">
        <w:rPr>
          <w:rFonts w:asciiTheme="minorHAnsi" w:hAnsiTheme="minorHAnsi" w:cstheme="minorHAnsi"/>
          <w:i/>
          <w:iCs/>
          <w:szCs w:val="21"/>
        </w:rPr>
        <w:t xml:space="preserve">, </w:t>
      </w:r>
      <w:r w:rsidRPr="00C85109">
        <w:rPr>
          <w:rFonts w:asciiTheme="minorHAnsi" w:hAnsiTheme="minorHAnsi" w:cstheme="minorHAnsi"/>
          <w:szCs w:val="21"/>
        </w:rPr>
        <w:t>365</w:t>
      </w:r>
      <w:r w:rsidR="001B0316" w:rsidRPr="00C85109">
        <w:rPr>
          <w:rFonts w:asciiTheme="minorHAnsi" w:hAnsiTheme="minorHAnsi" w:cstheme="minorHAnsi"/>
          <w:szCs w:val="21"/>
        </w:rPr>
        <w:t>-</w:t>
      </w:r>
      <w:r w:rsidRPr="00C85109">
        <w:rPr>
          <w:rFonts w:asciiTheme="minorHAnsi" w:hAnsiTheme="minorHAnsi" w:cstheme="minorHAnsi"/>
          <w:szCs w:val="21"/>
        </w:rPr>
        <w:t>373.</w:t>
      </w:r>
      <w:r w:rsidR="00AF2E24" w:rsidRPr="00C85109">
        <w:rPr>
          <w:rFonts w:asciiTheme="minorHAnsi" w:hAnsiTheme="minorHAnsi" w:cstheme="minorHAnsi"/>
          <w:szCs w:val="21"/>
        </w:rPr>
        <w:t xml:space="preserve"> https://doi.org/10.1007/s10488-017-0792-3</w:t>
      </w:r>
    </w:p>
    <w:p w14:paraId="5B752D7B" w14:textId="18BE4642" w:rsidR="00E35816" w:rsidRPr="00C85109" w:rsidRDefault="00E35816" w:rsidP="00CE427B">
      <w:pPr>
        <w:autoSpaceDE w:val="0"/>
        <w:autoSpaceDN w:val="0"/>
        <w:adjustRightInd w:val="0"/>
        <w:spacing w:before="0" w:after="120" w:line="276" w:lineRule="auto"/>
        <w:ind w:left="851" w:hanging="491"/>
        <w:rPr>
          <w:rFonts w:asciiTheme="minorHAnsi" w:hAnsiTheme="minorHAnsi" w:cstheme="minorHAnsi"/>
          <w:szCs w:val="21"/>
        </w:rPr>
      </w:pPr>
      <w:r w:rsidRPr="00C85109">
        <w:rPr>
          <w:rFonts w:asciiTheme="minorHAnsi" w:hAnsiTheme="minorHAnsi" w:cstheme="minorHAnsi"/>
          <w:szCs w:val="21"/>
        </w:rPr>
        <w:t>McNaughton, D.</w:t>
      </w:r>
      <w:r w:rsidR="00F57929" w:rsidRPr="00C85109">
        <w:rPr>
          <w:rFonts w:asciiTheme="minorHAnsi" w:hAnsiTheme="minorHAnsi" w:cstheme="minorHAnsi"/>
          <w:szCs w:val="21"/>
        </w:rPr>
        <w:t xml:space="preserve"> B.</w:t>
      </w:r>
      <w:r w:rsidRPr="00C85109">
        <w:rPr>
          <w:rFonts w:asciiTheme="minorHAnsi" w:hAnsiTheme="minorHAnsi" w:cstheme="minorHAnsi"/>
          <w:szCs w:val="21"/>
        </w:rPr>
        <w:t>, Symons, G., Light, J.</w:t>
      </w:r>
      <w:r w:rsidR="00EE4D83" w:rsidRPr="00C85109">
        <w:rPr>
          <w:rFonts w:asciiTheme="minorHAnsi" w:hAnsiTheme="minorHAnsi" w:cstheme="minorHAnsi"/>
          <w:szCs w:val="21"/>
        </w:rPr>
        <w:t xml:space="preserve"> C.</w:t>
      </w:r>
      <w:r w:rsidRPr="00C85109">
        <w:rPr>
          <w:rFonts w:asciiTheme="minorHAnsi" w:hAnsiTheme="minorHAnsi" w:cstheme="minorHAnsi"/>
          <w:szCs w:val="21"/>
        </w:rPr>
        <w:t xml:space="preserve">, &amp; Parsons, A. (2006). “My dream was to pay taxes”: The self-employment experiences of individuals who use augmentative and alternative communication. </w:t>
      </w:r>
      <w:r w:rsidRPr="00C85109">
        <w:rPr>
          <w:rFonts w:asciiTheme="minorHAnsi" w:hAnsiTheme="minorHAnsi" w:cstheme="minorHAnsi"/>
          <w:i/>
          <w:iCs/>
          <w:szCs w:val="21"/>
        </w:rPr>
        <w:t>Journal of Vocational Rehabilitation</w:t>
      </w:r>
      <w:r w:rsidRPr="00C85109">
        <w:rPr>
          <w:rFonts w:asciiTheme="minorHAnsi" w:hAnsiTheme="minorHAnsi" w:cstheme="minorHAnsi"/>
          <w:szCs w:val="21"/>
        </w:rPr>
        <w:t xml:space="preserve">, </w:t>
      </w:r>
      <w:r w:rsidRPr="00C85109">
        <w:rPr>
          <w:rFonts w:asciiTheme="minorHAnsi" w:hAnsiTheme="minorHAnsi" w:cstheme="minorHAnsi"/>
          <w:i/>
          <w:iCs/>
          <w:szCs w:val="21"/>
        </w:rPr>
        <w:t>25</w:t>
      </w:r>
      <w:r w:rsidRPr="00C85109">
        <w:rPr>
          <w:rFonts w:asciiTheme="minorHAnsi" w:hAnsiTheme="minorHAnsi" w:cstheme="minorHAnsi"/>
          <w:szCs w:val="21"/>
        </w:rPr>
        <w:t>(3),</w:t>
      </w:r>
      <w:r w:rsidR="002F2FCA" w:rsidRPr="00C85109">
        <w:rPr>
          <w:rFonts w:asciiTheme="minorHAnsi" w:hAnsiTheme="minorHAnsi" w:cstheme="minorHAnsi"/>
          <w:szCs w:val="21"/>
        </w:rPr>
        <w:t xml:space="preserve"> </w:t>
      </w:r>
      <w:r w:rsidRPr="00C85109">
        <w:rPr>
          <w:rFonts w:asciiTheme="minorHAnsi" w:hAnsiTheme="minorHAnsi" w:cstheme="minorHAnsi"/>
          <w:szCs w:val="21"/>
        </w:rPr>
        <w:t>181-196.</w:t>
      </w:r>
    </w:p>
    <w:p w14:paraId="395EA5CB" w14:textId="381E85EA" w:rsidR="00E35816" w:rsidRPr="00C85109" w:rsidRDefault="00E35816" w:rsidP="00CE427B">
      <w:pPr>
        <w:spacing w:before="0" w:after="120" w:line="276" w:lineRule="auto"/>
        <w:ind w:left="851" w:hanging="491"/>
        <w:rPr>
          <w:rStyle w:val="Hyperlink"/>
          <w:rFonts w:asciiTheme="minorHAnsi" w:hAnsiTheme="minorHAnsi" w:cstheme="minorHAnsi"/>
          <w:color w:val="auto"/>
          <w:szCs w:val="21"/>
          <w:u w:val="none"/>
        </w:rPr>
      </w:pPr>
      <w:r w:rsidRPr="00C85109">
        <w:rPr>
          <w:rFonts w:asciiTheme="minorHAnsi" w:hAnsiTheme="minorHAnsi" w:cstheme="minorHAnsi"/>
          <w:szCs w:val="21"/>
        </w:rPr>
        <w:t>Meltzer, A., Bates, S., Robinson, S., Kayess, R.</w:t>
      </w:r>
      <w:r w:rsidR="002F2FCA" w:rsidRPr="00C85109">
        <w:rPr>
          <w:rFonts w:asciiTheme="minorHAnsi" w:hAnsiTheme="minorHAnsi" w:cstheme="minorHAnsi"/>
          <w:szCs w:val="21"/>
        </w:rPr>
        <w:t>,</w:t>
      </w:r>
      <w:r w:rsidRPr="00C85109">
        <w:rPr>
          <w:rFonts w:asciiTheme="minorHAnsi" w:hAnsiTheme="minorHAnsi" w:cstheme="minorHAnsi"/>
          <w:szCs w:val="21"/>
        </w:rPr>
        <w:t xml:space="preserve"> Fisher, K.</w:t>
      </w:r>
      <w:r w:rsidR="002F2FCA" w:rsidRPr="00C85109">
        <w:rPr>
          <w:rFonts w:asciiTheme="minorHAnsi" w:hAnsiTheme="minorHAnsi" w:cstheme="minorHAnsi"/>
          <w:szCs w:val="21"/>
        </w:rPr>
        <w:t xml:space="preserve"> </w:t>
      </w:r>
      <w:r w:rsidRPr="00C85109">
        <w:rPr>
          <w:rFonts w:asciiTheme="minorHAnsi" w:hAnsiTheme="minorHAnsi" w:cstheme="minorHAnsi"/>
          <w:szCs w:val="21"/>
        </w:rPr>
        <w:t>R.</w:t>
      </w:r>
      <w:r w:rsidR="002F2FCA" w:rsidRPr="00C85109">
        <w:rPr>
          <w:rFonts w:asciiTheme="minorHAnsi" w:hAnsiTheme="minorHAnsi" w:cstheme="minorHAnsi"/>
          <w:szCs w:val="21"/>
        </w:rPr>
        <w:t>, &amp;</w:t>
      </w:r>
      <w:r w:rsidRPr="00C85109">
        <w:rPr>
          <w:rFonts w:asciiTheme="minorHAnsi" w:hAnsiTheme="minorHAnsi" w:cstheme="minorHAnsi"/>
          <w:szCs w:val="21"/>
        </w:rPr>
        <w:t xml:space="preserve"> Katz, I. (2016). </w:t>
      </w:r>
      <w:r w:rsidRPr="00C85109">
        <w:rPr>
          <w:rFonts w:asciiTheme="minorHAnsi" w:hAnsiTheme="minorHAnsi" w:cstheme="minorHAnsi"/>
          <w:i/>
          <w:iCs/>
          <w:szCs w:val="21"/>
        </w:rPr>
        <w:t>What do people with intellectual disability think about their jobs and the support they receive at work? A comparative study of three employment support models: Final report</w:t>
      </w:r>
      <w:r w:rsidR="0077134A" w:rsidRPr="00C85109">
        <w:rPr>
          <w:rFonts w:asciiTheme="minorHAnsi" w:hAnsiTheme="minorHAnsi" w:cstheme="minorHAnsi"/>
          <w:i/>
          <w:iCs/>
          <w:szCs w:val="21"/>
        </w:rPr>
        <w:t>.</w:t>
      </w:r>
      <w:r w:rsidRPr="00C85109">
        <w:rPr>
          <w:rFonts w:asciiTheme="minorHAnsi" w:hAnsiTheme="minorHAnsi" w:cstheme="minorHAnsi"/>
          <w:szCs w:val="21"/>
        </w:rPr>
        <w:t xml:space="preserve"> Social Policy Research Centre, UNSW Australia. </w:t>
      </w:r>
      <w:hyperlink r:id="rId42" w:history="1">
        <w:r w:rsidRPr="00C85109">
          <w:rPr>
            <w:rStyle w:val="Hyperlink"/>
            <w:rFonts w:asciiTheme="minorHAnsi" w:hAnsiTheme="minorHAnsi" w:cstheme="minorHAnsi"/>
            <w:color w:val="auto"/>
            <w:szCs w:val="21"/>
            <w:u w:val="none"/>
          </w:rPr>
          <w:t>https://www.arts.unsw.edu.au/sites/default/files/documents/Comparative_study_of_three_employment_models.pdf</w:t>
        </w:r>
      </w:hyperlink>
    </w:p>
    <w:p w14:paraId="7F0B3BFA" w14:textId="13361FF4" w:rsidR="00E35816" w:rsidRPr="00C85109" w:rsidRDefault="00E35816" w:rsidP="00CE427B">
      <w:pPr>
        <w:shd w:val="clear" w:color="auto" w:fill="FFFFFF"/>
        <w:spacing w:before="0" w:after="120" w:line="276" w:lineRule="auto"/>
        <w:ind w:left="851" w:hanging="491"/>
        <w:rPr>
          <w:rFonts w:asciiTheme="minorHAnsi" w:hAnsiTheme="minorHAnsi" w:cstheme="minorHAnsi"/>
          <w:szCs w:val="21"/>
          <w:lang w:val="en" w:eastAsia="en-AU"/>
        </w:rPr>
      </w:pPr>
      <w:proofErr w:type="spellStart"/>
      <w:r w:rsidRPr="00C85109">
        <w:rPr>
          <w:rFonts w:asciiTheme="minorHAnsi" w:hAnsiTheme="minorHAnsi" w:cstheme="minorHAnsi"/>
          <w:szCs w:val="21"/>
          <w:lang w:val="en" w:eastAsia="en-AU"/>
        </w:rPr>
        <w:t>Midjo</w:t>
      </w:r>
      <w:proofErr w:type="spellEnd"/>
      <w:r w:rsidRPr="00C85109">
        <w:rPr>
          <w:rFonts w:asciiTheme="minorHAnsi" w:hAnsiTheme="minorHAnsi" w:cstheme="minorHAnsi"/>
          <w:szCs w:val="21"/>
          <w:lang w:val="en" w:eastAsia="en-AU"/>
        </w:rPr>
        <w:t>, T</w:t>
      </w:r>
      <w:r w:rsidR="002F2FCA" w:rsidRPr="00C85109">
        <w:rPr>
          <w:rFonts w:asciiTheme="minorHAnsi" w:hAnsiTheme="minorHAnsi" w:cstheme="minorHAnsi"/>
          <w:szCs w:val="21"/>
          <w:lang w:val="en" w:eastAsia="en-AU"/>
        </w:rPr>
        <w:t>.,</w:t>
      </w:r>
      <w:r w:rsidRPr="00C85109">
        <w:rPr>
          <w:rFonts w:asciiTheme="minorHAnsi" w:hAnsiTheme="minorHAnsi" w:cstheme="minorHAnsi"/>
          <w:szCs w:val="21"/>
          <w:lang w:val="en" w:eastAsia="en-AU"/>
        </w:rPr>
        <w:t xml:space="preserve"> &amp; Aune, K. E. (2018)</w:t>
      </w:r>
      <w:r w:rsidR="002F2FCA" w:rsidRPr="00C85109">
        <w:rPr>
          <w:rFonts w:asciiTheme="minorHAnsi" w:hAnsiTheme="minorHAnsi" w:cstheme="minorHAnsi"/>
          <w:szCs w:val="21"/>
          <w:lang w:val="en" w:eastAsia="en-AU"/>
        </w:rPr>
        <w:t>.</w:t>
      </w:r>
      <w:r w:rsidRPr="00C85109">
        <w:rPr>
          <w:rFonts w:asciiTheme="minorHAnsi" w:hAnsiTheme="minorHAnsi" w:cstheme="minorHAnsi"/>
          <w:szCs w:val="21"/>
          <w:lang w:val="en" w:eastAsia="en-AU"/>
        </w:rPr>
        <w:t xml:space="preserve"> Identity constructions and transition to adulthood for young people with mild intellectual disabilities</w:t>
      </w:r>
      <w:r w:rsidR="002F2FCA" w:rsidRPr="00C85109">
        <w:rPr>
          <w:rFonts w:asciiTheme="minorHAnsi" w:hAnsiTheme="minorHAnsi" w:cstheme="minorHAnsi"/>
          <w:szCs w:val="21"/>
          <w:lang w:val="en" w:eastAsia="en-AU"/>
        </w:rPr>
        <w:t>.</w:t>
      </w:r>
      <w:r w:rsidRPr="00C85109">
        <w:rPr>
          <w:rFonts w:asciiTheme="minorHAnsi" w:hAnsiTheme="minorHAnsi" w:cstheme="minorHAnsi"/>
          <w:szCs w:val="21"/>
          <w:lang w:val="en" w:eastAsia="en-AU"/>
        </w:rPr>
        <w:t xml:space="preserve"> </w:t>
      </w:r>
      <w:r w:rsidRPr="00C85109">
        <w:rPr>
          <w:rFonts w:asciiTheme="minorHAnsi" w:hAnsiTheme="minorHAnsi" w:cstheme="minorHAnsi"/>
          <w:i/>
          <w:szCs w:val="21"/>
          <w:lang w:val="en" w:eastAsia="en-AU"/>
        </w:rPr>
        <w:t>Journal of Intellectual Disabilities</w:t>
      </w:r>
      <w:r w:rsidRPr="00C85109">
        <w:rPr>
          <w:rFonts w:asciiTheme="minorHAnsi" w:hAnsiTheme="minorHAnsi" w:cstheme="minorHAnsi"/>
          <w:szCs w:val="21"/>
          <w:lang w:val="en" w:eastAsia="en-AU"/>
        </w:rPr>
        <w:t xml:space="preserve">, </w:t>
      </w:r>
      <w:r w:rsidRPr="00C85109">
        <w:rPr>
          <w:rFonts w:asciiTheme="minorHAnsi" w:hAnsiTheme="minorHAnsi" w:cstheme="minorHAnsi"/>
          <w:i/>
          <w:iCs/>
          <w:szCs w:val="21"/>
          <w:lang w:val="en" w:eastAsia="en-AU"/>
        </w:rPr>
        <w:t>22</w:t>
      </w:r>
      <w:r w:rsidRPr="00C85109">
        <w:rPr>
          <w:rFonts w:asciiTheme="minorHAnsi" w:hAnsiTheme="minorHAnsi" w:cstheme="minorHAnsi"/>
          <w:szCs w:val="21"/>
          <w:lang w:val="en" w:eastAsia="en-AU"/>
        </w:rPr>
        <w:t>(1)</w:t>
      </w:r>
      <w:r w:rsidR="002F2FCA" w:rsidRPr="00C85109">
        <w:rPr>
          <w:rFonts w:asciiTheme="minorHAnsi" w:hAnsiTheme="minorHAnsi" w:cstheme="minorHAnsi"/>
          <w:szCs w:val="21"/>
          <w:lang w:val="en" w:eastAsia="en-AU"/>
        </w:rPr>
        <w:t>,</w:t>
      </w:r>
      <w:r w:rsidRPr="00C85109">
        <w:rPr>
          <w:rFonts w:asciiTheme="minorHAnsi" w:hAnsiTheme="minorHAnsi" w:cstheme="minorHAnsi"/>
          <w:szCs w:val="21"/>
          <w:lang w:val="en" w:eastAsia="en-AU"/>
        </w:rPr>
        <w:t xml:space="preserve"> 33</w:t>
      </w:r>
      <w:r w:rsidR="002F2FCA" w:rsidRPr="00C85109">
        <w:rPr>
          <w:rFonts w:asciiTheme="minorHAnsi" w:hAnsiTheme="minorHAnsi" w:cstheme="minorHAnsi"/>
          <w:szCs w:val="21"/>
          <w:lang w:val="en" w:eastAsia="en-AU"/>
        </w:rPr>
        <w:t>-</w:t>
      </w:r>
      <w:r w:rsidRPr="00C85109">
        <w:rPr>
          <w:rFonts w:asciiTheme="minorHAnsi" w:hAnsiTheme="minorHAnsi" w:cstheme="minorHAnsi"/>
          <w:szCs w:val="21"/>
          <w:lang w:val="en" w:eastAsia="en-AU"/>
        </w:rPr>
        <w:t>48</w:t>
      </w:r>
      <w:r w:rsidR="002F2FCA" w:rsidRPr="00C85109">
        <w:rPr>
          <w:rFonts w:asciiTheme="minorHAnsi" w:hAnsiTheme="minorHAnsi" w:cstheme="minorHAnsi"/>
          <w:szCs w:val="21"/>
          <w:lang w:val="en" w:eastAsia="en-AU"/>
        </w:rPr>
        <w:t>.</w:t>
      </w:r>
      <w:r w:rsidR="00296269" w:rsidRPr="00C85109">
        <w:rPr>
          <w:rFonts w:asciiTheme="minorHAnsi" w:hAnsiTheme="minorHAnsi" w:cstheme="minorHAnsi"/>
          <w:szCs w:val="21"/>
          <w:lang w:val="en" w:eastAsia="en-AU"/>
        </w:rPr>
        <w:t xml:space="preserve"> https://doi.org/10.1177/1744629516674066</w:t>
      </w:r>
    </w:p>
    <w:p w14:paraId="6D08E0DA" w14:textId="39044D58" w:rsidR="00E35816" w:rsidRPr="00C85109" w:rsidRDefault="00E35816" w:rsidP="00CE427B">
      <w:pPr>
        <w:spacing w:before="0" w:after="120" w:line="276" w:lineRule="auto"/>
        <w:ind w:left="851" w:hanging="491"/>
        <w:rPr>
          <w:rFonts w:asciiTheme="minorHAnsi" w:hAnsiTheme="minorHAnsi" w:cstheme="minorHAnsi"/>
          <w:szCs w:val="21"/>
        </w:rPr>
      </w:pPr>
      <w:bookmarkStart w:id="199" w:name="_Hlk41237379"/>
      <w:proofErr w:type="spellStart"/>
      <w:r w:rsidRPr="00C85109">
        <w:rPr>
          <w:rFonts w:asciiTheme="minorHAnsi" w:hAnsiTheme="minorHAnsi" w:cstheme="minorHAnsi"/>
          <w:szCs w:val="21"/>
        </w:rPr>
        <w:t>Migliore</w:t>
      </w:r>
      <w:proofErr w:type="spellEnd"/>
      <w:r w:rsidRPr="00C85109">
        <w:rPr>
          <w:rFonts w:asciiTheme="minorHAnsi" w:hAnsiTheme="minorHAnsi" w:cstheme="minorHAnsi"/>
          <w:szCs w:val="21"/>
        </w:rPr>
        <w:t xml:space="preserve">, A., Timmons, J., Butterworth, J., &amp; </w:t>
      </w:r>
      <w:proofErr w:type="spellStart"/>
      <w:r w:rsidRPr="00C85109">
        <w:rPr>
          <w:rFonts w:asciiTheme="minorHAnsi" w:hAnsiTheme="minorHAnsi" w:cstheme="minorHAnsi"/>
          <w:szCs w:val="21"/>
        </w:rPr>
        <w:t>Lugas</w:t>
      </w:r>
      <w:proofErr w:type="spellEnd"/>
      <w:r w:rsidRPr="00C85109">
        <w:rPr>
          <w:rFonts w:asciiTheme="minorHAnsi" w:hAnsiTheme="minorHAnsi" w:cstheme="minorHAnsi"/>
          <w:szCs w:val="21"/>
        </w:rPr>
        <w:t xml:space="preserve">, J. (2012). Predictors of employment and postsecondary education of youth with autism. </w:t>
      </w:r>
      <w:r w:rsidRPr="00C85109">
        <w:rPr>
          <w:rFonts w:asciiTheme="minorHAnsi" w:hAnsiTheme="minorHAnsi" w:cstheme="minorHAnsi"/>
          <w:i/>
          <w:iCs/>
          <w:szCs w:val="21"/>
        </w:rPr>
        <w:t>Rehabilitation Counseling Bulletin</w:t>
      </w:r>
      <w:r w:rsidRPr="00C85109">
        <w:rPr>
          <w:rFonts w:asciiTheme="minorHAnsi" w:hAnsiTheme="minorHAnsi" w:cstheme="minorHAnsi"/>
          <w:szCs w:val="21"/>
        </w:rPr>
        <w:t xml:space="preserve">, </w:t>
      </w:r>
      <w:r w:rsidRPr="00C85109">
        <w:rPr>
          <w:rFonts w:asciiTheme="minorHAnsi" w:hAnsiTheme="minorHAnsi" w:cstheme="minorHAnsi"/>
          <w:i/>
          <w:iCs/>
          <w:szCs w:val="21"/>
        </w:rPr>
        <w:t>55</w:t>
      </w:r>
      <w:r w:rsidR="00067F4A" w:rsidRPr="00C85109">
        <w:rPr>
          <w:rFonts w:asciiTheme="minorHAnsi" w:hAnsiTheme="minorHAnsi" w:cstheme="minorHAnsi"/>
          <w:szCs w:val="21"/>
        </w:rPr>
        <w:t>(3)</w:t>
      </w:r>
      <w:r w:rsidRPr="00C85109">
        <w:rPr>
          <w:rFonts w:asciiTheme="minorHAnsi" w:hAnsiTheme="minorHAnsi" w:cstheme="minorHAnsi"/>
          <w:szCs w:val="21"/>
        </w:rPr>
        <w:t xml:space="preserve">, 176-184. </w:t>
      </w:r>
      <w:r w:rsidR="003E5D98" w:rsidRPr="00C85109">
        <w:rPr>
          <w:rFonts w:asciiTheme="minorHAnsi" w:hAnsiTheme="minorHAnsi" w:cstheme="minorHAnsi"/>
          <w:szCs w:val="21"/>
        </w:rPr>
        <w:t>https://doi.org/10.1177/0034355212438943</w:t>
      </w:r>
    </w:p>
    <w:p w14:paraId="08A6EEEE" w14:textId="46C20EBB" w:rsidR="00E35816" w:rsidRPr="00C85109" w:rsidRDefault="00E35816" w:rsidP="00CE427B">
      <w:pPr>
        <w:spacing w:before="0" w:after="120" w:line="276" w:lineRule="auto"/>
        <w:ind w:left="851" w:hanging="491"/>
        <w:rPr>
          <w:rFonts w:asciiTheme="minorHAnsi" w:hAnsiTheme="minorHAnsi" w:cstheme="minorHAnsi"/>
          <w:szCs w:val="21"/>
        </w:rPr>
      </w:pPr>
      <w:r w:rsidRPr="00C85109">
        <w:rPr>
          <w:rFonts w:asciiTheme="minorHAnsi" w:hAnsiTheme="minorHAnsi" w:cstheme="minorHAnsi"/>
          <w:szCs w:val="21"/>
        </w:rPr>
        <w:t>Miller, S. C., Sax, C. L.</w:t>
      </w:r>
      <w:r w:rsidR="00CE4370" w:rsidRPr="00C85109">
        <w:rPr>
          <w:rFonts w:asciiTheme="minorHAnsi" w:hAnsiTheme="minorHAnsi" w:cstheme="minorHAnsi"/>
          <w:szCs w:val="21"/>
        </w:rPr>
        <w:t>,</w:t>
      </w:r>
      <w:r w:rsidRPr="00C85109">
        <w:rPr>
          <w:rFonts w:asciiTheme="minorHAnsi" w:hAnsiTheme="minorHAnsi" w:cstheme="minorHAnsi"/>
          <w:szCs w:val="21"/>
        </w:rPr>
        <w:t xml:space="preserve"> &amp; Tucker, M. S. (2019). Examining </w:t>
      </w:r>
      <w:r w:rsidR="00CE4370" w:rsidRPr="00C85109">
        <w:rPr>
          <w:rFonts w:asciiTheme="minorHAnsi" w:hAnsiTheme="minorHAnsi" w:cstheme="minorHAnsi"/>
          <w:szCs w:val="21"/>
        </w:rPr>
        <w:t>associations between postsecondary education, earnings, and provision of college and university training related to individuals with intellectual and developmental disabilities served by vocational rehabilitation.</w:t>
      </w:r>
      <w:r w:rsidRPr="00C85109">
        <w:rPr>
          <w:rFonts w:asciiTheme="minorHAnsi" w:hAnsiTheme="minorHAnsi" w:cstheme="minorHAnsi"/>
          <w:szCs w:val="21"/>
        </w:rPr>
        <w:t xml:space="preserve"> </w:t>
      </w:r>
      <w:r w:rsidRPr="00C85109">
        <w:rPr>
          <w:rFonts w:asciiTheme="minorHAnsi" w:hAnsiTheme="minorHAnsi" w:cstheme="minorHAnsi"/>
          <w:i/>
          <w:iCs/>
          <w:szCs w:val="21"/>
        </w:rPr>
        <w:t>Journal of Rehabilitation</w:t>
      </w:r>
      <w:r w:rsidRPr="00C85109">
        <w:rPr>
          <w:rFonts w:asciiTheme="minorHAnsi" w:hAnsiTheme="minorHAnsi" w:cstheme="minorHAnsi"/>
          <w:szCs w:val="21"/>
        </w:rPr>
        <w:t xml:space="preserve">, </w:t>
      </w:r>
      <w:r w:rsidRPr="00C85109">
        <w:rPr>
          <w:rFonts w:asciiTheme="minorHAnsi" w:hAnsiTheme="minorHAnsi" w:cstheme="minorHAnsi"/>
          <w:i/>
          <w:iCs/>
          <w:szCs w:val="21"/>
        </w:rPr>
        <w:t>85</w:t>
      </w:r>
      <w:r w:rsidR="00CE4370" w:rsidRPr="00C85109">
        <w:rPr>
          <w:rFonts w:asciiTheme="minorHAnsi" w:hAnsiTheme="minorHAnsi" w:cstheme="minorHAnsi"/>
          <w:szCs w:val="21"/>
        </w:rPr>
        <w:t>(</w:t>
      </w:r>
      <w:r w:rsidRPr="00C85109">
        <w:rPr>
          <w:rFonts w:asciiTheme="minorHAnsi" w:hAnsiTheme="minorHAnsi" w:cstheme="minorHAnsi"/>
          <w:szCs w:val="21"/>
        </w:rPr>
        <w:t>1</w:t>
      </w:r>
      <w:r w:rsidR="00CE4370" w:rsidRPr="00C85109">
        <w:rPr>
          <w:rFonts w:asciiTheme="minorHAnsi" w:hAnsiTheme="minorHAnsi" w:cstheme="minorHAnsi"/>
          <w:szCs w:val="21"/>
        </w:rPr>
        <w:t>),</w:t>
      </w:r>
      <w:r w:rsidRPr="00C85109">
        <w:rPr>
          <w:rFonts w:asciiTheme="minorHAnsi" w:hAnsiTheme="minorHAnsi" w:cstheme="minorHAnsi"/>
          <w:szCs w:val="21"/>
        </w:rPr>
        <w:t xml:space="preserve"> 22-34.</w:t>
      </w:r>
    </w:p>
    <w:bookmarkEnd w:id="199"/>
    <w:p w14:paraId="0728CAF3" w14:textId="167EA888" w:rsidR="00E35816" w:rsidRPr="00C85109" w:rsidRDefault="00E35816" w:rsidP="00CE427B">
      <w:pPr>
        <w:spacing w:before="0" w:after="120" w:line="276" w:lineRule="auto"/>
        <w:ind w:left="851" w:hanging="491"/>
        <w:rPr>
          <w:rFonts w:asciiTheme="minorHAnsi" w:hAnsiTheme="minorHAnsi" w:cstheme="minorHAnsi"/>
          <w:szCs w:val="21"/>
        </w:rPr>
      </w:pPr>
      <w:proofErr w:type="spellStart"/>
      <w:r w:rsidRPr="00C85109">
        <w:rPr>
          <w:rFonts w:asciiTheme="minorHAnsi" w:hAnsiTheme="minorHAnsi" w:cstheme="minorHAnsi"/>
          <w:szCs w:val="21"/>
        </w:rPr>
        <w:t>Molfenter</w:t>
      </w:r>
      <w:proofErr w:type="spellEnd"/>
      <w:r w:rsidRPr="00C85109">
        <w:rPr>
          <w:rFonts w:asciiTheme="minorHAnsi" w:hAnsiTheme="minorHAnsi" w:cstheme="minorHAnsi"/>
          <w:szCs w:val="21"/>
        </w:rPr>
        <w:t>, N.</w:t>
      </w:r>
      <w:r w:rsidR="00CE4370" w:rsidRPr="00C85109">
        <w:rPr>
          <w:rFonts w:asciiTheme="minorHAnsi" w:hAnsiTheme="minorHAnsi" w:cstheme="minorHAnsi"/>
          <w:szCs w:val="21"/>
        </w:rPr>
        <w:t xml:space="preserve"> </w:t>
      </w:r>
      <w:r w:rsidRPr="00C85109">
        <w:rPr>
          <w:rFonts w:asciiTheme="minorHAnsi" w:hAnsiTheme="minorHAnsi" w:cstheme="minorHAnsi"/>
          <w:szCs w:val="21"/>
        </w:rPr>
        <w:t>F</w:t>
      </w:r>
      <w:r w:rsidR="00CE4370" w:rsidRPr="00C85109">
        <w:rPr>
          <w:rFonts w:asciiTheme="minorHAnsi" w:hAnsiTheme="minorHAnsi" w:cstheme="minorHAnsi"/>
          <w:szCs w:val="21"/>
        </w:rPr>
        <w:t>.</w:t>
      </w:r>
      <w:r w:rsidRPr="00C85109">
        <w:rPr>
          <w:rFonts w:asciiTheme="minorHAnsi" w:hAnsiTheme="minorHAnsi" w:cstheme="minorHAnsi"/>
          <w:szCs w:val="21"/>
        </w:rPr>
        <w:t xml:space="preserve">, Hartman, E., </w:t>
      </w:r>
      <w:proofErr w:type="spellStart"/>
      <w:r w:rsidRPr="00C85109">
        <w:rPr>
          <w:rFonts w:asciiTheme="minorHAnsi" w:hAnsiTheme="minorHAnsi" w:cstheme="minorHAnsi"/>
          <w:szCs w:val="21"/>
        </w:rPr>
        <w:t>Neugart</w:t>
      </w:r>
      <w:proofErr w:type="spellEnd"/>
      <w:r w:rsidRPr="00C85109">
        <w:rPr>
          <w:rFonts w:asciiTheme="minorHAnsi" w:hAnsiTheme="minorHAnsi" w:cstheme="minorHAnsi"/>
          <w:szCs w:val="21"/>
        </w:rPr>
        <w:t>, J.</w:t>
      </w:r>
      <w:r w:rsidR="00CE4370" w:rsidRPr="00C85109">
        <w:rPr>
          <w:rFonts w:asciiTheme="minorHAnsi" w:hAnsiTheme="minorHAnsi" w:cstheme="minorHAnsi"/>
          <w:szCs w:val="21"/>
        </w:rPr>
        <w:t>,</w:t>
      </w:r>
      <w:r w:rsidRPr="00C85109">
        <w:rPr>
          <w:rFonts w:asciiTheme="minorHAnsi" w:hAnsiTheme="minorHAnsi" w:cstheme="minorHAnsi"/>
          <w:szCs w:val="21"/>
        </w:rPr>
        <w:t xml:space="preserve"> </w:t>
      </w:r>
      <w:r w:rsidR="00CE4370" w:rsidRPr="00C85109">
        <w:rPr>
          <w:rFonts w:asciiTheme="minorHAnsi" w:hAnsiTheme="minorHAnsi" w:cstheme="minorHAnsi"/>
          <w:szCs w:val="21"/>
        </w:rPr>
        <w:t>&amp;</w:t>
      </w:r>
      <w:r w:rsidRPr="00C85109">
        <w:rPr>
          <w:rFonts w:asciiTheme="minorHAnsi" w:hAnsiTheme="minorHAnsi" w:cstheme="minorHAnsi"/>
          <w:szCs w:val="21"/>
        </w:rPr>
        <w:t xml:space="preserve"> Web, S. (2017)</w:t>
      </w:r>
      <w:r w:rsidR="00CE4370" w:rsidRPr="00C85109">
        <w:rPr>
          <w:rFonts w:asciiTheme="minorHAnsi" w:hAnsiTheme="minorHAnsi" w:cstheme="minorHAnsi"/>
          <w:szCs w:val="21"/>
        </w:rPr>
        <w:t>.</w:t>
      </w:r>
      <w:r w:rsidRPr="00C85109">
        <w:rPr>
          <w:rFonts w:asciiTheme="minorHAnsi" w:hAnsiTheme="minorHAnsi" w:cstheme="minorHAnsi"/>
          <w:szCs w:val="21"/>
        </w:rPr>
        <w:t xml:space="preserve"> Let’s </w:t>
      </w:r>
      <w:r w:rsidR="00CE4370" w:rsidRPr="00C85109">
        <w:rPr>
          <w:rFonts w:asciiTheme="minorHAnsi" w:hAnsiTheme="minorHAnsi" w:cstheme="minorHAnsi"/>
          <w:szCs w:val="21"/>
        </w:rPr>
        <w:t xml:space="preserve">get to work </w:t>
      </w:r>
      <w:r w:rsidRPr="00C85109">
        <w:rPr>
          <w:rFonts w:asciiTheme="minorHAnsi" w:hAnsiTheme="minorHAnsi" w:cstheme="minorHAnsi"/>
          <w:szCs w:val="21"/>
        </w:rPr>
        <w:t>Wisconsin: Launching youth with intellectual and developmental disabilities into the workforce</w:t>
      </w:r>
      <w:r w:rsidR="00CE4370" w:rsidRPr="00C85109">
        <w:rPr>
          <w:rFonts w:asciiTheme="minorHAnsi" w:hAnsiTheme="minorHAnsi" w:cstheme="minorHAnsi"/>
          <w:szCs w:val="21"/>
        </w:rPr>
        <w:t>.</w:t>
      </w:r>
      <w:r w:rsidRPr="00C85109">
        <w:rPr>
          <w:rFonts w:asciiTheme="minorHAnsi" w:hAnsiTheme="minorHAnsi" w:cstheme="minorHAnsi"/>
          <w:szCs w:val="21"/>
        </w:rPr>
        <w:t xml:space="preserve"> </w:t>
      </w:r>
      <w:r w:rsidRPr="00C85109">
        <w:rPr>
          <w:rFonts w:asciiTheme="minorHAnsi" w:hAnsiTheme="minorHAnsi" w:cstheme="minorHAnsi"/>
          <w:i/>
          <w:iCs/>
          <w:szCs w:val="21"/>
        </w:rPr>
        <w:t>Journal of Vocational Rehabilitation</w:t>
      </w:r>
      <w:r w:rsidR="00CE4370" w:rsidRPr="00C85109">
        <w:rPr>
          <w:rFonts w:asciiTheme="minorHAnsi" w:hAnsiTheme="minorHAnsi" w:cstheme="minorHAnsi"/>
          <w:i/>
          <w:iCs/>
          <w:szCs w:val="21"/>
        </w:rPr>
        <w:t xml:space="preserve">, </w:t>
      </w:r>
      <w:r w:rsidRPr="00C85109">
        <w:rPr>
          <w:rFonts w:asciiTheme="minorHAnsi" w:hAnsiTheme="minorHAnsi" w:cstheme="minorHAnsi"/>
          <w:i/>
          <w:iCs/>
          <w:szCs w:val="21"/>
        </w:rPr>
        <w:t>47</w:t>
      </w:r>
      <w:r w:rsidR="006925F5" w:rsidRPr="00C85109">
        <w:rPr>
          <w:rFonts w:asciiTheme="minorHAnsi" w:hAnsiTheme="minorHAnsi" w:cstheme="minorHAnsi"/>
          <w:szCs w:val="21"/>
        </w:rPr>
        <w:t>(3)</w:t>
      </w:r>
      <w:r w:rsidR="00CE4370" w:rsidRPr="00C85109">
        <w:rPr>
          <w:rFonts w:asciiTheme="minorHAnsi" w:hAnsiTheme="minorHAnsi" w:cstheme="minorHAnsi"/>
          <w:i/>
          <w:iCs/>
          <w:szCs w:val="21"/>
        </w:rPr>
        <w:t>,</w:t>
      </w:r>
      <w:r w:rsidRPr="00C85109">
        <w:rPr>
          <w:rFonts w:asciiTheme="minorHAnsi" w:hAnsiTheme="minorHAnsi" w:cstheme="minorHAnsi"/>
          <w:szCs w:val="21"/>
        </w:rPr>
        <w:t xml:space="preserve"> 379</w:t>
      </w:r>
      <w:r w:rsidR="00CE4370" w:rsidRPr="00C85109">
        <w:rPr>
          <w:rFonts w:asciiTheme="minorHAnsi" w:hAnsiTheme="minorHAnsi" w:cstheme="minorHAnsi"/>
          <w:szCs w:val="21"/>
        </w:rPr>
        <w:t>-</w:t>
      </w:r>
      <w:r w:rsidRPr="00C85109">
        <w:rPr>
          <w:rFonts w:asciiTheme="minorHAnsi" w:hAnsiTheme="minorHAnsi" w:cstheme="minorHAnsi"/>
          <w:szCs w:val="21"/>
        </w:rPr>
        <w:t>390</w:t>
      </w:r>
      <w:r w:rsidR="00CE4370" w:rsidRPr="00C85109">
        <w:rPr>
          <w:rFonts w:asciiTheme="minorHAnsi" w:hAnsiTheme="minorHAnsi" w:cstheme="minorHAnsi"/>
          <w:szCs w:val="21"/>
        </w:rPr>
        <w:t>.</w:t>
      </w:r>
      <w:r w:rsidRPr="00C85109">
        <w:rPr>
          <w:rFonts w:asciiTheme="minorHAnsi" w:hAnsiTheme="minorHAnsi" w:cstheme="minorHAnsi"/>
          <w:szCs w:val="21"/>
        </w:rPr>
        <w:t xml:space="preserve"> </w:t>
      </w:r>
      <w:r w:rsidR="00711346" w:rsidRPr="00C85109">
        <w:rPr>
          <w:rFonts w:asciiTheme="minorHAnsi" w:hAnsiTheme="minorHAnsi" w:cstheme="minorHAnsi"/>
          <w:szCs w:val="21"/>
        </w:rPr>
        <w:t>https://doi.org/10.3233/JVR-170910</w:t>
      </w:r>
    </w:p>
    <w:p w14:paraId="42FE7F61" w14:textId="6C6DFB0B" w:rsidR="00E35816" w:rsidRPr="00C85109" w:rsidRDefault="00E35816" w:rsidP="00CE427B">
      <w:pPr>
        <w:spacing w:before="0" w:after="120" w:line="276" w:lineRule="auto"/>
        <w:ind w:left="851" w:hanging="491"/>
        <w:rPr>
          <w:rFonts w:asciiTheme="minorHAnsi" w:hAnsiTheme="minorHAnsi" w:cstheme="minorHAnsi"/>
          <w:szCs w:val="21"/>
        </w:rPr>
      </w:pPr>
      <w:r w:rsidRPr="00C85109">
        <w:rPr>
          <w:rFonts w:asciiTheme="minorHAnsi" w:hAnsiTheme="minorHAnsi" w:cstheme="minorHAnsi"/>
          <w:szCs w:val="21"/>
        </w:rPr>
        <w:t>Moore, E. J.</w:t>
      </w:r>
      <w:r w:rsidR="00CE4370" w:rsidRPr="00C85109">
        <w:rPr>
          <w:rFonts w:asciiTheme="minorHAnsi" w:hAnsiTheme="minorHAnsi" w:cstheme="minorHAnsi"/>
          <w:szCs w:val="21"/>
        </w:rPr>
        <w:t>,</w:t>
      </w:r>
      <w:r w:rsidRPr="00C85109">
        <w:rPr>
          <w:rFonts w:asciiTheme="minorHAnsi" w:hAnsiTheme="minorHAnsi" w:cstheme="minorHAnsi"/>
          <w:szCs w:val="21"/>
        </w:rPr>
        <w:t xml:space="preserve"> &amp; Schelling, A. (2015). Postsecondary inclusion for individuals with an intellectual disability and its effects on employment</w:t>
      </w:r>
      <w:r w:rsidR="0050588E" w:rsidRPr="00C85109">
        <w:rPr>
          <w:rFonts w:asciiTheme="minorHAnsi" w:hAnsiTheme="minorHAnsi" w:cstheme="minorHAnsi"/>
          <w:szCs w:val="21"/>
        </w:rPr>
        <w:t xml:space="preserve">. </w:t>
      </w:r>
      <w:r w:rsidRPr="00C85109">
        <w:rPr>
          <w:rFonts w:asciiTheme="minorHAnsi" w:hAnsiTheme="minorHAnsi" w:cstheme="minorHAnsi"/>
          <w:i/>
          <w:iCs/>
          <w:szCs w:val="21"/>
        </w:rPr>
        <w:t>Journal of Intellectual Disabilities</w:t>
      </w:r>
      <w:r w:rsidRPr="00C85109">
        <w:rPr>
          <w:rFonts w:asciiTheme="minorHAnsi" w:hAnsiTheme="minorHAnsi" w:cstheme="minorHAnsi"/>
          <w:szCs w:val="21"/>
        </w:rPr>
        <w:t xml:space="preserve">, </w:t>
      </w:r>
      <w:r w:rsidRPr="00C85109">
        <w:rPr>
          <w:rFonts w:asciiTheme="minorHAnsi" w:hAnsiTheme="minorHAnsi" w:cstheme="minorHAnsi"/>
          <w:i/>
          <w:iCs/>
          <w:szCs w:val="21"/>
        </w:rPr>
        <w:t>19</w:t>
      </w:r>
      <w:r w:rsidR="0050588E" w:rsidRPr="00C85109">
        <w:rPr>
          <w:rFonts w:asciiTheme="minorHAnsi" w:hAnsiTheme="minorHAnsi" w:cstheme="minorHAnsi"/>
          <w:szCs w:val="21"/>
        </w:rPr>
        <w:t>(</w:t>
      </w:r>
      <w:r w:rsidRPr="00C85109">
        <w:rPr>
          <w:rFonts w:asciiTheme="minorHAnsi" w:hAnsiTheme="minorHAnsi" w:cstheme="minorHAnsi"/>
          <w:szCs w:val="21"/>
        </w:rPr>
        <w:t>2</w:t>
      </w:r>
      <w:r w:rsidR="0050588E" w:rsidRPr="00C85109">
        <w:rPr>
          <w:rFonts w:asciiTheme="minorHAnsi" w:hAnsiTheme="minorHAnsi" w:cstheme="minorHAnsi"/>
          <w:szCs w:val="21"/>
        </w:rPr>
        <w:t>),</w:t>
      </w:r>
      <w:r w:rsidRPr="00C85109">
        <w:rPr>
          <w:rFonts w:asciiTheme="minorHAnsi" w:hAnsiTheme="minorHAnsi" w:cstheme="minorHAnsi"/>
          <w:szCs w:val="21"/>
        </w:rPr>
        <w:t xml:space="preserve"> 130</w:t>
      </w:r>
      <w:r w:rsidR="0050588E" w:rsidRPr="00C85109">
        <w:rPr>
          <w:rFonts w:asciiTheme="minorHAnsi" w:hAnsiTheme="minorHAnsi" w:cstheme="minorHAnsi"/>
          <w:szCs w:val="21"/>
        </w:rPr>
        <w:t>-</w:t>
      </w:r>
      <w:r w:rsidRPr="00C85109">
        <w:rPr>
          <w:rFonts w:asciiTheme="minorHAnsi" w:hAnsiTheme="minorHAnsi" w:cstheme="minorHAnsi"/>
          <w:szCs w:val="21"/>
        </w:rPr>
        <w:t>148.</w:t>
      </w:r>
      <w:r w:rsidR="00653DED" w:rsidRPr="00C85109">
        <w:rPr>
          <w:rFonts w:asciiTheme="minorHAnsi" w:hAnsiTheme="minorHAnsi" w:cstheme="minorHAnsi"/>
          <w:szCs w:val="21"/>
        </w:rPr>
        <w:t xml:space="preserve"> https://doi.org/10.1177/1744629514564448</w:t>
      </w:r>
    </w:p>
    <w:p w14:paraId="429746F5" w14:textId="3B216EEA" w:rsidR="00E35816" w:rsidRPr="00C85109" w:rsidRDefault="00E35816" w:rsidP="00CE427B">
      <w:pPr>
        <w:spacing w:before="0" w:after="120" w:line="276" w:lineRule="auto"/>
        <w:ind w:left="851" w:hanging="491"/>
        <w:rPr>
          <w:rStyle w:val="Hyperlink"/>
          <w:rFonts w:asciiTheme="minorHAnsi" w:eastAsia="Calibri" w:hAnsiTheme="minorHAnsi" w:cstheme="minorHAnsi"/>
          <w:noProof/>
          <w:color w:val="auto"/>
          <w:szCs w:val="21"/>
          <w:u w:val="none"/>
          <w:lang w:eastAsia="en-AU"/>
        </w:rPr>
      </w:pPr>
      <w:proofErr w:type="spellStart"/>
      <w:r w:rsidRPr="00C85109">
        <w:rPr>
          <w:rFonts w:asciiTheme="minorHAnsi" w:hAnsiTheme="minorHAnsi" w:cstheme="minorHAnsi"/>
          <w:szCs w:val="21"/>
        </w:rPr>
        <w:t>Myhr</w:t>
      </w:r>
      <w:proofErr w:type="spellEnd"/>
      <w:r w:rsidRPr="00C85109">
        <w:rPr>
          <w:rFonts w:asciiTheme="minorHAnsi" w:hAnsiTheme="minorHAnsi" w:cstheme="minorHAnsi"/>
          <w:szCs w:val="21"/>
        </w:rPr>
        <w:t xml:space="preserve">, A., </w:t>
      </w:r>
      <w:proofErr w:type="spellStart"/>
      <w:r w:rsidRPr="00C85109">
        <w:rPr>
          <w:rFonts w:asciiTheme="minorHAnsi" w:hAnsiTheme="minorHAnsi" w:cstheme="minorHAnsi"/>
          <w:szCs w:val="21"/>
        </w:rPr>
        <w:t>Haugan</w:t>
      </w:r>
      <w:proofErr w:type="spellEnd"/>
      <w:r w:rsidRPr="00C85109">
        <w:rPr>
          <w:rFonts w:asciiTheme="minorHAnsi" w:hAnsiTheme="minorHAnsi" w:cstheme="minorHAnsi"/>
          <w:szCs w:val="21"/>
        </w:rPr>
        <w:t xml:space="preserve">, T., </w:t>
      </w:r>
      <w:proofErr w:type="spellStart"/>
      <w:r w:rsidRPr="00C85109">
        <w:rPr>
          <w:rFonts w:asciiTheme="minorHAnsi" w:hAnsiTheme="minorHAnsi" w:cstheme="minorHAnsi"/>
          <w:szCs w:val="21"/>
        </w:rPr>
        <w:t>Lillefjell</w:t>
      </w:r>
      <w:proofErr w:type="spellEnd"/>
      <w:r w:rsidRPr="00C85109">
        <w:rPr>
          <w:rFonts w:asciiTheme="minorHAnsi" w:hAnsiTheme="minorHAnsi" w:cstheme="minorHAnsi"/>
          <w:szCs w:val="21"/>
        </w:rPr>
        <w:t>, M.</w:t>
      </w:r>
      <w:r w:rsidR="0050588E" w:rsidRPr="00C85109">
        <w:rPr>
          <w:rFonts w:asciiTheme="minorHAnsi" w:hAnsiTheme="minorHAnsi" w:cstheme="minorHAnsi"/>
          <w:szCs w:val="21"/>
        </w:rPr>
        <w:t>,</w:t>
      </w:r>
      <w:r w:rsidRPr="00C85109">
        <w:rPr>
          <w:rFonts w:asciiTheme="minorHAnsi" w:hAnsiTheme="minorHAnsi" w:cstheme="minorHAnsi"/>
          <w:szCs w:val="21"/>
        </w:rPr>
        <w:t xml:space="preserve"> &amp; Halvorsen, T. (2018)</w:t>
      </w:r>
      <w:r w:rsidR="0050588E" w:rsidRPr="00C85109">
        <w:rPr>
          <w:rFonts w:asciiTheme="minorHAnsi" w:hAnsiTheme="minorHAnsi" w:cstheme="minorHAnsi"/>
          <w:szCs w:val="21"/>
        </w:rPr>
        <w:t>.</w:t>
      </w:r>
      <w:r w:rsidRPr="00C85109">
        <w:rPr>
          <w:rFonts w:asciiTheme="minorHAnsi" w:hAnsiTheme="minorHAnsi" w:cstheme="minorHAnsi"/>
          <w:szCs w:val="21"/>
        </w:rPr>
        <w:t xml:space="preserve"> Non-completion of secondary education and early disability in Norway: </w:t>
      </w:r>
      <w:r w:rsidR="001B77E5" w:rsidRPr="00C85109">
        <w:rPr>
          <w:rFonts w:asciiTheme="minorHAnsi" w:hAnsiTheme="minorHAnsi" w:cstheme="minorHAnsi"/>
          <w:szCs w:val="21"/>
        </w:rPr>
        <w:t>G</w:t>
      </w:r>
      <w:r w:rsidRPr="00C85109">
        <w:rPr>
          <w:rFonts w:asciiTheme="minorHAnsi" w:hAnsiTheme="minorHAnsi" w:cstheme="minorHAnsi"/>
          <w:szCs w:val="21"/>
        </w:rPr>
        <w:t>eographic patterns, individual and community risks</w:t>
      </w:r>
      <w:r w:rsidR="001B77E5" w:rsidRPr="00C85109">
        <w:rPr>
          <w:rFonts w:asciiTheme="minorHAnsi" w:hAnsiTheme="minorHAnsi" w:cstheme="minorHAnsi"/>
          <w:szCs w:val="21"/>
        </w:rPr>
        <w:t>.</w:t>
      </w:r>
      <w:r w:rsidRPr="00C85109">
        <w:rPr>
          <w:rFonts w:asciiTheme="minorHAnsi" w:hAnsiTheme="minorHAnsi" w:cstheme="minorHAnsi"/>
          <w:szCs w:val="21"/>
        </w:rPr>
        <w:t xml:space="preserve"> </w:t>
      </w:r>
      <w:r w:rsidRPr="00C85109">
        <w:rPr>
          <w:rFonts w:asciiTheme="minorHAnsi" w:hAnsiTheme="minorHAnsi" w:cstheme="minorHAnsi"/>
          <w:i/>
          <w:iCs/>
          <w:szCs w:val="21"/>
        </w:rPr>
        <w:t>BMC Public Health</w:t>
      </w:r>
      <w:r w:rsidRPr="00C85109">
        <w:rPr>
          <w:rFonts w:asciiTheme="minorHAnsi" w:hAnsiTheme="minorHAnsi" w:cstheme="minorHAnsi"/>
          <w:szCs w:val="21"/>
        </w:rPr>
        <w:t xml:space="preserve">, </w:t>
      </w:r>
      <w:r w:rsidRPr="00C85109">
        <w:rPr>
          <w:rFonts w:asciiTheme="minorHAnsi" w:hAnsiTheme="minorHAnsi" w:cstheme="minorHAnsi"/>
          <w:i/>
          <w:iCs/>
          <w:szCs w:val="21"/>
        </w:rPr>
        <w:t>18</w:t>
      </w:r>
      <w:r w:rsidR="001B77E5" w:rsidRPr="00C85109">
        <w:rPr>
          <w:rFonts w:asciiTheme="minorHAnsi" w:hAnsiTheme="minorHAnsi" w:cstheme="minorHAnsi"/>
          <w:szCs w:val="21"/>
        </w:rPr>
        <w:t>,</w:t>
      </w:r>
      <w:r w:rsidRPr="00C85109">
        <w:rPr>
          <w:rFonts w:asciiTheme="minorHAnsi" w:hAnsiTheme="minorHAnsi" w:cstheme="minorHAnsi"/>
          <w:szCs w:val="21"/>
        </w:rPr>
        <w:t xml:space="preserve"> </w:t>
      </w:r>
      <w:r w:rsidR="000418CC" w:rsidRPr="00C85109">
        <w:rPr>
          <w:rFonts w:asciiTheme="minorHAnsi" w:hAnsiTheme="minorHAnsi" w:cstheme="minorHAnsi"/>
          <w:szCs w:val="21"/>
        </w:rPr>
        <w:t xml:space="preserve">Article </w:t>
      </w:r>
      <w:r w:rsidRPr="00C85109">
        <w:rPr>
          <w:rFonts w:asciiTheme="minorHAnsi" w:hAnsiTheme="minorHAnsi" w:cstheme="minorHAnsi"/>
          <w:szCs w:val="21"/>
        </w:rPr>
        <w:t>682</w:t>
      </w:r>
      <w:r w:rsidR="001B77E5" w:rsidRPr="00C85109">
        <w:rPr>
          <w:rFonts w:asciiTheme="minorHAnsi" w:hAnsiTheme="minorHAnsi" w:cstheme="minorHAnsi"/>
          <w:szCs w:val="21"/>
        </w:rPr>
        <w:t>.</w:t>
      </w:r>
      <w:r w:rsidRPr="00C85109">
        <w:rPr>
          <w:rFonts w:asciiTheme="minorHAnsi" w:hAnsiTheme="minorHAnsi" w:cstheme="minorHAnsi"/>
          <w:szCs w:val="21"/>
        </w:rPr>
        <w:t xml:space="preserve"> </w:t>
      </w:r>
      <w:hyperlink r:id="rId43" w:history="1">
        <w:r w:rsidRPr="00C85109">
          <w:rPr>
            <w:rStyle w:val="Hyperlink"/>
            <w:rFonts w:asciiTheme="minorHAnsi" w:hAnsiTheme="minorHAnsi" w:cstheme="minorHAnsi"/>
            <w:color w:val="auto"/>
            <w:szCs w:val="21"/>
            <w:u w:val="none"/>
          </w:rPr>
          <w:t>https://doi.org/10.1186/s12889-018-5551-1</w:t>
        </w:r>
      </w:hyperlink>
    </w:p>
    <w:p w14:paraId="4089F15B" w14:textId="4CF2E804" w:rsidR="00E35816" w:rsidRPr="00C85109" w:rsidRDefault="00E35816" w:rsidP="00CE427B">
      <w:pPr>
        <w:spacing w:before="0" w:after="120" w:line="276" w:lineRule="auto"/>
        <w:ind w:left="851" w:hanging="491"/>
        <w:rPr>
          <w:rFonts w:asciiTheme="minorHAnsi" w:hAnsiTheme="minorHAnsi" w:cstheme="minorHAnsi"/>
          <w:szCs w:val="21"/>
        </w:rPr>
      </w:pPr>
      <w:r w:rsidRPr="00C85109">
        <w:rPr>
          <w:rFonts w:asciiTheme="minorHAnsi" w:hAnsiTheme="minorHAnsi" w:cstheme="minorHAnsi"/>
          <w:szCs w:val="21"/>
        </w:rPr>
        <w:t>National Disability Insurance Agency</w:t>
      </w:r>
      <w:r w:rsidR="002772D9" w:rsidRPr="00C85109">
        <w:rPr>
          <w:rFonts w:asciiTheme="minorHAnsi" w:hAnsiTheme="minorHAnsi" w:cstheme="minorHAnsi"/>
          <w:szCs w:val="21"/>
        </w:rPr>
        <w:t>.</w:t>
      </w:r>
      <w:r w:rsidRPr="00C85109">
        <w:rPr>
          <w:rFonts w:asciiTheme="minorHAnsi" w:hAnsiTheme="minorHAnsi" w:cstheme="minorHAnsi"/>
          <w:szCs w:val="21"/>
        </w:rPr>
        <w:t xml:space="preserve"> (2018). </w:t>
      </w:r>
      <w:r w:rsidRPr="00C85109">
        <w:rPr>
          <w:rFonts w:asciiTheme="minorHAnsi" w:hAnsiTheme="minorHAnsi" w:cstheme="minorHAnsi"/>
          <w:i/>
          <w:szCs w:val="21"/>
        </w:rPr>
        <w:t xml:space="preserve">NDIS </w:t>
      </w:r>
      <w:r w:rsidR="00B81ABC" w:rsidRPr="00C85109">
        <w:rPr>
          <w:rFonts w:asciiTheme="minorHAnsi" w:hAnsiTheme="minorHAnsi" w:cstheme="minorHAnsi"/>
          <w:i/>
          <w:szCs w:val="21"/>
        </w:rPr>
        <w:t>participant outcomes</w:t>
      </w:r>
      <w:r w:rsidR="00B643C3" w:rsidRPr="00C85109">
        <w:rPr>
          <w:rFonts w:asciiTheme="minorHAnsi" w:hAnsiTheme="minorHAnsi" w:cstheme="minorHAnsi"/>
          <w:i/>
          <w:szCs w:val="21"/>
        </w:rPr>
        <w:t>.</w:t>
      </w:r>
      <w:r w:rsidRPr="00C85109">
        <w:rPr>
          <w:rFonts w:asciiTheme="minorHAnsi" w:hAnsiTheme="minorHAnsi" w:cstheme="minorHAnsi"/>
          <w:szCs w:val="21"/>
        </w:rPr>
        <w:t xml:space="preserve"> </w:t>
      </w:r>
      <w:r w:rsidR="002772D9" w:rsidRPr="00C85109">
        <w:rPr>
          <w:rFonts w:asciiTheme="minorHAnsi" w:hAnsiTheme="minorHAnsi" w:cstheme="minorHAnsi"/>
          <w:szCs w:val="21"/>
        </w:rPr>
        <w:t>https://data.ndis.gov.au/media/1901/download</w:t>
      </w:r>
    </w:p>
    <w:p w14:paraId="3F7FFB04" w14:textId="22EF856A" w:rsidR="004D7F78" w:rsidRPr="00C85109" w:rsidRDefault="00E35816" w:rsidP="004D7F78">
      <w:pPr>
        <w:spacing w:before="0" w:after="120" w:line="276" w:lineRule="auto"/>
        <w:ind w:left="851" w:hanging="491"/>
        <w:rPr>
          <w:rFonts w:asciiTheme="minorHAnsi" w:hAnsiTheme="minorHAnsi" w:cstheme="minorHAnsi"/>
          <w:i/>
          <w:iCs/>
          <w:szCs w:val="21"/>
        </w:rPr>
      </w:pPr>
      <w:bookmarkStart w:id="200" w:name="_Hlk42441850"/>
      <w:r w:rsidRPr="00C85109">
        <w:rPr>
          <w:rFonts w:asciiTheme="minorHAnsi" w:hAnsiTheme="minorHAnsi" w:cstheme="minorHAnsi"/>
          <w:szCs w:val="21"/>
        </w:rPr>
        <w:t>National Disability Insurance Agency</w:t>
      </w:r>
      <w:r w:rsidR="00E20AF5" w:rsidRPr="00C85109">
        <w:rPr>
          <w:rFonts w:asciiTheme="minorHAnsi" w:hAnsiTheme="minorHAnsi" w:cstheme="minorHAnsi"/>
          <w:szCs w:val="21"/>
        </w:rPr>
        <w:t xml:space="preserve">. </w:t>
      </w:r>
      <w:r w:rsidRPr="00C85109">
        <w:rPr>
          <w:rFonts w:asciiTheme="minorHAnsi" w:hAnsiTheme="minorHAnsi" w:cstheme="minorHAnsi"/>
          <w:szCs w:val="21"/>
        </w:rPr>
        <w:t xml:space="preserve">(2019). </w:t>
      </w:r>
      <w:r w:rsidRPr="00C85109">
        <w:rPr>
          <w:rFonts w:asciiTheme="minorHAnsi" w:hAnsiTheme="minorHAnsi" w:cstheme="minorHAnsi"/>
          <w:i/>
          <w:iCs/>
          <w:szCs w:val="21"/>
        </w:rPr>
        <w:t>People with an intellectual disability in the NDIS</w:t>
      </w:r>
      <w:r w:rsidR="00C229C6" w:rsidRPr="00C85109">
        <w:rPr>
          <w:rFonts w:asciiTheme="minorHAnsi" w:hAnsiTheme="minorHAnsi" w:cstheme="minorHAnsi"/>
          <w:i/>
          <w:iCs/>
          <w:szCs w:val="21"/>
        </w:rPr>
        <w:t>.</w:t>
      </w:r>
      <w:r w:rsidRPr="00C85109">
        <w:rPr>
          <w:rFonts w:asciiTheme="minorHAnsi" w:hAnsiTheme="minorHAnsi" w:cstheme="minorHAnsi"/>
          <w:szCs w:val="21"/>
        </w:rPr>
        <w:t xml:space="preserve"> </w:t>
      </w:r>
      <w:r w:rsidR="00D32F04" w:rsidRPr="00C85109">
        <w:rPr>
          <w:rFonts w:asciiTheme="minorHAnsi" w:hAnsiTheme="minorHAnsi" w:cstheme="minorHAnsi"/>
          <w:szCs w:val="21"/>
        </w:rPr>
        <w:t>https://data.ndis.gov.au/media/2126/download</w:t>
      </w:r>
      <w:bookmarkStart w:id="201" w:name="_Hlk40796500"/>
      <w:bookmarkEnd w:id="200"/>
    </w:p>
    <w:p w14:paraId="52102ECA" w14:textId="7CFBF950" w:rsidR="004D7F78" w:rsidRPr="00C85109" w:rsidRDefault="004D7F78" w:rsidP="00CE427B">
      <w:pPr>
        <w:autoSpaceDE w:val="0"/>
        <w:autoSpaceDN w:val="0"/>
        <w:adjustRightInd w:val="0"/>
        <w:spacing w:before="0" w:after="120" w:line="276" w:lineRule="auto"/>
        <w:ind w:left="851" w:hanging="491"/>
        <w:rPr>
          <w:rFonts w:asciiTheme="minorHAnsi" w:hAnsiTheme="minorHAnsi" w:cstheme="minorHAnsi"/>
          <w:szCs w:val="21"/>
        </w:rPr>
      </w:pPr>
      <w:r w:rsidRPr="00C85109">
        <w:rPr>
          <w:rFonts w:asciiTheme="minorHAnsi" w:hAnsiTheme="minorHAnsi" w:cstheme="minorHAnsi"/>
          <w:szCs w:val="21"/>
        </w:rPr>
        <w:t xml:space="preserve">National Disability Services. (2017). </w:t>
      </w:r>
      <w:r w:rsidRPr="00C85109">
        <w:rPr>
          <w:rFonts w:asciiTheme="minorHAnsi" w:hAnsiTheme="minorHAnsi" w:cstheme="minorHAnsi"/>
          <w:i/>
          <w:iCs/>
          <w:szCs w:val="21"/>
        </w:rPr>
        <w:t>Submission to the inquiry into career advice activities in Victorian schools.</w:t>
      </w:r>
      <w:r w:rsidRPr="00C85109">
        <w:rPr>
          <w:rFonts w:asciiTheme="minorHAnsi" w:hAnsiTheme="minorHAnsi" w:cstheme="minorHAnsi"/>
          <w:szCs w:val="21"/>
        </w:rPr>
        <w:t xml:space="preserve"> </w:t>
      </w:r>
      <w:r w:rsidRPr="00C85109">
        <w:rPr>
          <w:rFonts w:asciiTheme="minorHAnsi" w:hAnsiTheme="minorHAnsi" w:cstheme="minorHAnsi"/>
          <w:szCs w:val="21"/>
        </w:rPr>
        <w:lastRenderedPageBreak/>
        <w:t>https://www.parliament.vic.gov.au/images/stories/committees/eejsc/Career_Advice_Activities/Submission_69_-_National_Disability_Services_15122017.pdf</w:t>
      </w:r>
    </w:p>
    <w:p w14:paraId="346ED6A0" w14:textId="14194C20" w:rsidR="00E35816" w:rsidRPr="00C85109" w:rsidRDefault="00E35816" w:rsidP="00CE427B">
      <w:pPr>
        <w:autoSpaceDE w:val="0"/>
        <w:autoSpaceDN w:val="0"/>
        <w:adjustRightInd w:val="0"/>
        <w:spacing w:before="0" w:after="120" w:line="276" w:lineRule="auto"/>
        <w:ind w:left="851" w:hanging="491"/>
        <w:rPr>
          <w:rFonts w:asciiTheme="minorHAnsi" w:hAnsiTheme="minorHAnsi" w:cstheme="minorHAnsi"/>
          <w:szCs w:val="21"/>
        </w:rPr>
      </w:pPr>
      <w:proofErr w:type="spellStart"/>
      <w:r w:rsidRPr="00C85109">
        <w:rPr>
          <w:rFonts w:asciiTheme="minorHAnsi" w:hAnsiTheme="minorHAnsi" w:cstheme="minorHAnsi"/>
          <w:szCs w:val="21"/>
        </w:rPr>
        <w:t>Nevala</w:t>
      </w:r>
      <w:proofErr w:type="spellEnd"/>
      <w:r w:rsidRPr="00C85109">
        <w:rPr>
          <w:rFonts w:asciiTheme="minorHAnsi" w:hAnsiTheme="minorHAnsi" w:cstheme="minorHAnsi"/>
          <w:szCs w:val="21"/>
        </w:rPr>
        <w:t>, N.</w:t>
      </w:r>
      <w:r w:rsidR="0078141B" w:rsidRPr="00C85109">
        <w:rPr>
          <w:rFonts w:asciiTheme="minorHAnsi" w:hAnsiTheme="minorHAnsi" w:cstheme="minorHAnsi"/>
          <w:szCs w:val="21"/>
        </w:rPr>
        <w:t>,</w:t>
      </w:r>
      <w:r w:rsidRPr="00C85109">
        <w:rPr>
          <w:rFonts w:asciiTheme="minorHAnsi" w:hAnsiTheme="minorHAnsi" w:cstheme="minorHAnsi"/>
          <w:szCs w:val="21"/>
        </w:rPr>
        <w:t xml:space="preserve"> </w:t>
      </w:r>
      <w:proofErr w:type="spellStart"/>
      <w:r w:rsidRPr="00C85109">
        <w:rPr>
          <w:rFonts w:asciiTheme="minorHAnsi" w:hAnsiTheme="minorHAnsi" w:cstheme="minorHAnsi"/>
          <w:szCs w:val="21"/>
        </w:rPr>
        <w:t>Pehkonen</w:t>
      </w:r>
      <w:proofErr w:type="spellEnd"/>
      <w:r w:rsidRPr="00C85109">
        <w:rPr>
          <w:rFonts w:asciiTheme="minorHAnsi" w:hAnsiTheme="minorHAnsi" w:cstheme="minorHAnsi"/>
          <w:szCs w:val="21"/>
        </w:rPr>
        <w:t>, I.</w:t>
      </w:r>
      <w:r w:rsidR="0078141B" w:rsidRPr="00C85109">
        <w:rPr>
          <w:rFonts w:asciiTheme="minorHAnsi" w:hAnsiTheme="minorHAnsi" w:cstheme="minorHAnsi"/>
          <w:szCs w:val="21"/>
        </w:rPr>
        <w:t>,</w:t>
      </w:r>
      <w:r w:rsidRPr="00C85109">
        <w:rPr>
          <w:rFonts w:asciiTheme="minorHAnsi" w:hAnsiTheme="minorHAnsi" w:cstheme="minorHAnsi"/>
          <w:szCs w:val="21"/>
        </w:rPr>
        <w:t xml:space="preserve"> </w:t>
      </w:r>
      <w:proofErr w:type="spellStart"/>
      <w:r w:rsidRPr="00C85109">
        <w:rPr>
          <w:rFonts w:asciiTheme="minorHAnsi" w:hAnsiTheme="minorHAnsi" w:cstheme="minorHAnsi"/>
          <w:szCs w:val="21"/>
        </w:rPr>
        <w:t>Teittinen</w:t>
      </w:r>
      <w:proofErr w:type="spellEnd"/>
      <w:r w:rsidRPr="00C85109">
        <w:rPr>
          <w:rFonts w:asciiTheme="minorHAnsi" w:hAnsiTheme="minorHAnsi" w:cstheme="minorHAnsi"/>
          <w:szCs w:val="21"/>
        </w:rPr>
        <w:t>, A.</w:t>
      </w:r>
      <w:r w:rsidR="0078141B" w:rsidRPr="00C85109">
        <w:rPr>
          <w:rFonts w:asciiTheme="minorHAnsi" w:hAnsiTheme="minorHAnsi" w:cstheme="minorHAnsi"/>
          <w:szCs w:val="21"/>
        </w:rPr>
        <w:t>,</w:t>
      </w:r>
      <w:r w:rsidRPr="00C85109">
        <w:rPr>
          <w:rFonts w:asciiTheme="minorHAnsi" w:hAnsiTheme="minorHAnsi" w:cstheme="minorHAnsi"/>
          <w:szCs w:val="21"/>
        </w:rPr>
        <w:t xml:space="preserve"> </w:t>
      </w:r>
      <w:proofErr w:type="spellStart"/>
      <w:r w:rsidRPr="00C85109">
        <w:rPr>
          <w:rFonts w:asciiTheme="minorHAnsi" w:hAnsiTheme="minorHAnsi" w:cstheme="minorHAnsi"/>
          <w:szCs w:val="21"/>
        </w:rPr>
        <w:t>Vesala</w:t>
      </w:r>
      <w:proofErr w:type="spellEnd"/>
      <w:r w:rsidRPr="00C85109">
        <w:rPr>
          <w:rFonts w:asciiTheme="minorHAnsi" w:hAnsiTheme="minorHAnsi" w:cstheme="minorHAnsi"/>
          <w:szCs w:val="21"/>
        </w:rPr>
        <w:t>, H.</w:t>
      </w:r>
      <w:r w:rsidR="000906FA" w:rsidRPr="00C85109">
        <w:rPr>
          <w:rFonts w:asciiTheme="minorHAnsi" w:hAnsiTheme="minorHAnsi" w:cstheme="minorHAnsi"/>
          <w:szCs w:val="21"/>
        </w:rPr>
        <w:t xml:space="preserve"> T.</w:t>
      </w:r>
      <w:r w:rsidR="0078141B" w:rsidRPr="00C85109">
        <w:rPr>
          <w:rFonts w:asciiTheme="minorHAnsi" w:hAnsiTheme="minorHAnsi" w:cstheme="minorHAnsi"/>
          <w:szCs w:val="21"/>
        </w:rPr>
        <w:t>,</w:t>
      </w:r>
      <w:r w:rsidRPr="00C85109">
        <w:rPr>
          <w:rFonts w:asciiTheme="minorHAnsi" w:hAnsiTheme="minorHAnsi" w:cstheme="minorHAnsi"/>
          <w:szCs w:val="21"/>
        </w:rPr>
        <w:t xml:space="preserve"> </w:t>
      </w:r>
      <w:proofErr w:type="spellStart"/>
      <w:r w:rsidRPr="00C85109">
        <w:rPr>
          <w:rFonts w:asciiTheme="minorHAnsi" w:hAnsiTheme="minorHAnsi" w:cstheme="minorHAnsi"/>
          <w:szCs w:val="21"/>
        </w:rPr>
        <w:t>Pörtfors</w:t>
      </w:r>
      <w:proofErr w:type="spellEnd"/>
      <w:r w:rsidRPr="00C85109">
        <w:rPr>
          <w:rFonts w:asciiTheme="minorHAnsi" w:hAnsiTheme="minorHAnsi" w:cstheme="minorHAnsi"/>
          <w:szCs w:val="21"/>
        </w:rPr>
        <w:t>, P.</w:t>
      </w:r>
      <w:r w:rsidR="0078141B" w:rsidRPr="00C85109">
        <w:rPr>
          <w:rFonts w:asciiTheme="minorHAnsi" w:hAnsiTheme="minorHAnsi" w:cstheme="minorHAnsi"/>
          <w:szCs w:val="21"/>
        </w:rPr>
        <w:t>,</w:t>
      </w:r>
      <w:r w:rsidRPr="00C85109">
        <w:rPr>
          <w:rFonts w:asciiTheme="minorHAnsi" w:hAnsiTheme="minorHAnsi" w:cstheme="minorHAnsi"/>
          <w:szCs w:val="21"/>
        </w:rPr>
        <w:t xml:space="preserve"> &amp; </w:t>
      </w:r>
      <w:proofErr w:type="spellStart"/>
      <w:r w:rsidRPr="00C85109">
        <w:rPr>
          <w:rFonts w:asciiTheme="minorHAnsi" w:hAnsiTheme="minorHAnsi" w:cstheme="minorHAnsi"/>
          <w:szCs w:val="21"/>
        </w:rPr>
        <w:t>Anttila</w:t>
      </w:r>
      <w:proofErr w:type="spellEnd"/>
      <w:r w:rsidRPr="00C85109">
        <w:rPr>
          <w:rFonts w:asciiTheme="minorHAnsi" w:hAnsiTheme="minorHAnsi" w:cstheme="minorHAnsi"/>
          <w:szCs w:val="21"/>
        </w:rPr>
        <w:t xml:space="preserve">, H. (2019). The </w:t>
      </w:r>
      <w:r w:rsidR="0078141B" w:rsidRPr="00C85109">
        <w:rPr>
          <w:rFonts w:asciiTheme="minorHAnsi" w:hAnsiTheme="minorHAnsi" w:cstheme="minorHAnsi"/>
          <w:szCs w:val="21"/>
        </w:rPr>
        <w:t>effectiveness of rehabilitation interventions on the employment and functioning of people with intellectual disabiliti</w:t>
      </w:r>
      <w:r w:rsidRPr="00C85109">
        <w:rPr>
          <w:rFonts w:asciiTheme="minorHAnsi" w:hAnsiTheme="minorHAnsi" w:cstheme="minorHAnsi"/>
          <w:szCs w:val="21"/>
        </w:rPr>
        <w:t xml:space="preserve">es: A </w:t>
      </w:r>
      <w:r w:rsidR="0078141B" w:rsidRPr="00C85109">
        <w:rPr>
          <w:rFonts w:asciiTheme="minorHAnsi" w:hAnsiTheme="minorHAnsi" w:cstheme="minorHAnsi"/>
          <w:szCs w:val="21"/>
        </w:rPr>
        <w:t>systematic r</w:t>
      </w:r>
      <w:r w:rsidRPr="00C85109">
        <w:rPr>
          <w:rFonts w:asciiTheme="minorHAnsi" w:hAnsiTheme="minorHAnsi" w:cstheme="minorHAnsi"/>
          <w:szCs w:val="21"/>
        </w:rPr>
        <w:t>eview</w:t>
      </w:r>
      <w:r w:rsidR="0078141B" w:rsidRPr="00C85109">
        <w:rPr>
          <w:rFonts w:asciiTheme="minorHAnsi" w:hAnsiTheme="minorHAnsi" w:cstheme="minorHAnsi"/>
          <w:szCs w:val="21"/>
        </w:rPr>
        <w:t>.</w:t>
      </w:r>
      <w:r w:rsidRPr="00C85109">
        <w:rPr>
          <w:rFonts w:asciiTheme="minorHAnsi" w:hAnsiTheme="minorHAnsi" w:cstheme="minorHAnsi"/>
          <w:szCs w:val="21"/>
        </w:rPr>
        <w:t xml:space="preserve"> </w:t>
      </w:r>
      <w:r w:rsidRPr="00C85109">
        <w:rPr>
          <w:rFonts w:asciiTheme="minorHAnsi" w:hAnsiTheme="minorHAnsi" w:cstheme="minorHAnsi"/>
          <w:i/>
          <w:iCs/>
          <w:szCs w:val="21"/>
        </w:rPr>
        <w:t>Journal of Occupational Rehabilitation</w:t>
      </w:r>
      <w:r w:rsidRPr="00C85109">
        <w:rPr>
          <w:rFonts w:asciiTheme="minorHAnsi" w:hAnsiTheme="minorHAnsi" w:cstheme="minorHAnsi"/>
          <w:szCs w:val="21"/>
        </w:rPr>
        <w:t xml:space="preserve">, </w:t>
      </w:r>
      <w:r w:rsidRPr="00C85109">
        <w:rPr>
          <w:rFonts w:asciiTheme="minorHAnsi" w:hAnsiTheme="minorHAnsi" w:cstheme="minorHAnsi"/>
          <w:i/>
          <w:iCs/>
          <w:szCs w:val="21"/>
        </w:rPr>
        <w:t>29</w:t>
      </w:r>
      <w:r w:rsidR="001F6C3B" w:rsidRPr="00C85109">
        <w:rPr>
          <w:rFonts w:asciiTheme="minorHAnsi" w:hAnsiTheme="minorHAnsi" w:cstheme="minorHAnsi"/>
          <w:szCs w:val="21"/>
        </w:rPr>
        <w:t>(4)</w:t>
      </w:r>
      <w:r w:rsidR="0078141B" w:rsidRPr="00C85109">
        <w:rPr>
          <w:rFonts w:asciiTheme="minorHAnsi" w:hAnsiTheme="minorHAnsi" w:cstheme="minorHAnsi"/>
          <w:szCs w:val="21"/>
        </w:rPr>
        <w:t xml:space="preserve">, </w:t>
      </w:r>
      <w:r w:rsidRPr="00C85109">
        <w:rPr>
          <w:rFonts w:asciiTheme="minorHAnsi" w:hAnsiTheme="minorHAnsi" w:cstheme="minorHAnsi"/>
          <w:szCs w:val="21"/>
        </w:rPr>
        <w:t>773</w:t>
      </w:r>
      <w:r w:rsidR="0078141B" w:rsidRPr="00C85109">
        <w:rPr>
          <w:rFonts w:asciiTheme="minorHAnsi" w:hAnsiTheme="minorHAnsi" w:cstheme="minorHAnsi"/>
          <w:szCs w:val="21"/>
        </w:rPr>
        <w:t>-</w:t>
      </w:r>
      <w:r w:rsidRPr="00C85109">
        <w:rPr>
          <w:rFonts w:asciiTheme="minorHAnsi" w:hAnsiTheme="minorHAnsi" w:cstheme="minorHAnsi"/>
          <w:szCs w:val="21"/>
        </w:rPr>
        <w:t>802</w:t>
      </w:r>
      <w:bookmarkEnd w:id="201"/>
      <w:r w:rsidR="0078141B" w:rsidRPr="00C85109">
        <w:rPr>
          <w:rFonts w:asciiTheme="minorHAnsi" w:hAnsiTheme="minorHAnsi" w:cstheme="minorHAnsi"/>
          <w:szCs w:val="21"/>
        </w:rPr>
        <w:t>.</w:t>
      </w:r>
      <w:r w:rsidR="001F6C3B" w:rsidRPr="00C85109">
        <w:rPr>
          <w:rFonts w:asciiTheme="minorHAnsi" w:hAnsiTheme="minorHAnsi" w:cstheme="minorHAnsi"/>
          <w:szCs w:val="21"/>
        </w:rPr>
        <w:t xml:space="preserve"> </w:t>
      </w:r>
      <w:r w:rsidR="00BF7C46" w:rsidRPr="00C85109">
        <w:rPr>
          <w:rFonts w:asciiTheme="minorHAnsi" w:hAnsiTheme="minorHAnsi" w:cstheme="minorHAnsi"/>
          <w:szCs w:val="21"/>
        </w:rPr>
        <w:t>https://doi.org/10.1007/s10926-019-09837-2</w:t>
      </w:r>
    </w:p>
    <w:p w14:paraId="77AE4DBE" w14:textId="3F283610" w:rsidR="00BF7C46" w:rsidRPr="00C85109" w:rsidRDefault="00BF7C46" w:rsidP="00BF7C46">
      <w:pPr>
        <w:shd w:val="clear" w:color="auto" w:fill="FFFFFF"/>
        <w:spacing w:before="0" w:after="120" w:line="276" w:lineRule="auto"/>
        <w:ind w:left="851" w:hanging="491"/>
        <w:rPr>
          <w:rFonts w:asciiTheme="minorHAnsi" w:hAnsiTheme="minorHAnsi" w:cstheme="minorHAnsi"/>
          <w:szCs w:val="21"/>
        </w:rPr>
      </w:pPr>
      <w:r w:rsidRPr="00C85109">
        <w:rPr>
          <w:rFonts w:asciiTheme="minorHAnsi" w:hAnsiTheme="minorHAnsi" w:cstheme="minorHAnsi"/>
          <w:szCs w:val="21"/>
          <w:lang w:val="en" w:eastAsia="en-AU"/>
        </w:rPr>
        <w:t xml:space="preserve">Next Step Team. (2018). </w:t>
      </w:r>
      <w:r w:rsidRPr="00C85109">
        <w:rPr>
          <w:rFonts w:asciiTheme="minorHAnsi" w:hAnsiTheme="minorHAnsi" w:cstheme="minorHAnsi"/>
          <w:i/>
          <w:iCs/>
          <w:szCs w:val="21"/>
        </w:rPr>
        <w:t>Next step 2018. Year 12 completers survey. Post-school destinations of Year 12 completers from 2017. Special school graduates</w:t>
      </w:r>
      <w:r w:rsidRPr="00C85109">
        <w:rPr>
          <w:rFonts w:asciiTheme="minorHAnsi" w:hAnsiTheme="minorHAnsi" w:cstheme="minorHAnsi"/>
          <w:szCs w:val="21"/>
        </w:rPr>
        <w:t>. Queensland Department of Education. https://qed.qld.gov.au/det-publications/reports/earlyyears/Documents/ns-2018-special-schools.pdf</w:t>
      </w:r>
    </w:p>
    <w:p w14:paraId="1B2C77D1" w14:textId="3E84430A" w:rsidR="00E35816" w:rsidRPr="00C85109" w:rsidRDefault="00E35816" w:rsidP="00CE427B">
      <w:pPr>
        <w:pStyle w:val="EndNoteBibliography"/>
        <w:spacing w:after="120" w:line="276" w:lineRule="auto"/>
        <w:ind w:left="851" w:hanging="491"/>
        <w:rPr>
          <w:rFonts w:asciiTheme="minorHAnsi" w:hAnsiTheme="minorHAnsi" w:cstheme="minorHAnsi"/>
          <w:sz w:val="21"/>
          <w:szCs w:val="21"/>
        </w:rPr>
      </w:pPr>
      <w:bookmarkStart w:id="202" w:name="_Hlk41253341"/>
      <w:r w:rsidRPr="00C85109">
        <w:rPr>
          <w:rFonts w:asciiTheme="minorHAnsi" w:hAnsiTheme="minorHAnsi" w:cstheme="minorHAnsi"/>
          <w:sz w:val="21"/>
          <w:szCs w:val="21"/>
        </w:rPr>
        <w:t xml:space="preserve">Nicholas, D. B., Mitchell, W., Dudley, C., Clarke, M., &amp; Zulla, R. (2018). An </w:t>
      </w:r>
      <w:r w:rsidR="0078141B" w:rsidRPr="00C85109">
        <w:rPr>
          <w:rFonts w:asciiTheme="minorHAnsi" w:hAnsiTheme="minorHAnsi" w:cstheme="minorHAnsi"/>
          <w:sz w:val="21"/>
          <w:szCs w:val="21"/>
        </w:rPr>
        <w:t>ecosystem approach to employment and autism spectrum disorder</w:t>
      </w:r>
      <w:r w:rsidRPr="00C85109">
        <w:rPr>
          <w:rFonts w:asciiTheme="minorHAnsi" w:hAnsiTheme="minorHAnsi" w:cstheme="minorHAnsi"/>
          <w:sz w:val="21"/>
          <w:szCs w:val="21"/>
        </w:rPr>
        <w:t xml:space="preserve">. </w:t>
      </w:r>
      <w:r w:rsidRPr="00C85109">
        <w:rPr>
          <w:rFonts w:asciiTheme="minorHAnsi" w:hAnsiTheme="minorHAnsi" w:cstheme="minorHAnsi"/>
          <w:i/>
          <w:sz w:val="21"/>
          <w:szCs w:val="21"/>
        </w:rPr>
        <w:t xml:space="preserve">Journal of Autism </w:t>
      </w:r>
      <w:r w:rsidR="002F2E16" w:rsidRPr="00C85109">
        <w:rPr>
          <w:rFonts w:asciiTheme="minorHAnsi" w:hAnsiTheme="minorHAnsi" w:cstheme="minorHAnsi"/>
          <w:i/>
          <w:sz w:val="21"/>
          <w:szCs w:val="21"/>
        </w:rPr>
        <w:t>and</w:t>
      </w:r>
      <w:r w:rsidRPr="00C85109">
        <w:rPr>
          <w:rFonts w:asciiTheme="minorHAnsi" w:hAnsiTheme="minorHAnsi" w:cstheme="minorHAnsi"/>
          <w:i/>
          <w:sz w:val="21"/>
          <w:szCs w:val="21"/>
        </w:rPr>
        <w:t xml:space="preserve"> Developmental Disorders, 48</w:t>
      </w:r>
      <w:r w:rsidRPr="00C85109">
        <w:rPr>
          <w:rFonts w:asciiTheme="minorHAnsi" w:hAnsiTheme="minorHAnsi" w:cstheme="minorHAnsi"/>
          <w:sz w:val="21"/>
          <w:szCs w:val="21"/>
        </w:rPr>
        <w:t xml:space="preserve">(1), 264-275. </w:t>
      </w:r>
      <w:r w:rsidR="00106A7C" w:rsidRPr="00C85109">
        <w:rPr>
          <w:rFonts w:asciiTheme="minorHAnsi" w:hAnsiTheme="minorHAnsi" w:cstheme="minorHAnsi"/>
          <w:sz w:val="21"/>
          <w:szCs w:val="21"/>
        </w:rPr>
        <w:t>https://doi.org/10.1007/s10803-017-3351-6</w:t>
      </w:r>
    </w:p>
    <w:bookmarkEnd w:id="202"/>
    <w:p w14:paraId="13FD4F8A" w14:textId="61D57A84" w:rsidR="00E35816" w:rsidRPr="00C85109" w:rsidRDefault="00E35816" w:rsidP="00CE427B">
      <w:pPr>
        <w:spacing w:before="0" w:after="120" w:line="276" w:lineRule="auto"/>
        <w:ind w:left="851" w:hanging="491"/>
        <w:rPr>
          <w:rFonts w:asciiTheme="minorHAnsi" w:hAnsiTheme="minorHAnsi" w:cstheme="minorHAnsi"/>
          <w:szCs w:val="21"/>
        </w:rPr>
      </w:pPr>
      <w:r w:rsidRPr="00C85109">
        <w:rPr>
          <w:rFonts w:asciiTheme="minorHAnsi" w:hAnsiTheme="minorHAnsi" w:cstheme="minorHAnsi"/>
          <w:szCs w:val="21"/>
        </w:rPr>
        <w:t>Noel, V.</w:t>
      </w:r>
      <w:r w:rsidR="00D81C9D" w:rsidRPr="00C85109">
        <w:rPr>
          <w:rFonts w:asciiTheme="minorHAnsi" w:hAnsiTheme="minorHAnsi" w:cstheme="minorHAnsi"/>
          <w:szCs w:val="21"/>
        </w:rPr>
        <w:t xml:space="preserve"> A.</w:t>
      </w:r>
      <w:r w:rsidR="0078141B" w:rsidRPr="00C85109">
        <w:rPr>
          <w:rFonts w:asciiTheme="minorHAnsi" w:hAnsiTheme="minorHAnsi" w:cstheme="minorHAnsi"/>
          <w:szCs w:val="21"/>
        </w:rPr>
        <w:t>,</w:t>
      </w:r>
      <w:r w:rsidRPr="00C85109">
        <w:rPr>
          <w:rFonts w:asciiTheme="minorHAnsi" w:hAnsiTheme="minorHAnsi" w:cstheme="minorHAnsi"/>
          <w:szCs w:val="21"/>
        </w:rPr>
        <w:t xml:space="preserve"> </w:t>
      </w:r>
      <w:proofErr w:type="spellStart"/>
      <w:r w:rsidRPr="00C85109">
        <w:rPr>
          <w:rFonts w:asciiTheme="minorHAnsi" w:hAnsiTheme="minorHAnsi" w:cstheme="minorHAnsi"/>
          <w:szCs w:val="21"/>
        </w:rPr>
        <w:t>Oulvey</w:t>
      </w:r>
      <w:proofErr w:type="spellEnd"/>
      <w:r w:rsidRPr="00C85109">
        <w:rPr>
          <w:rFonts w:asciiTheme="minorHAnsi" w:hAnsiTheme="minorHAnsi" w:cstheme="minorHAnsi"/>
          <w:szCs w:val="21"/>
        </w:rPr>
        <w:t>, E.</w:t>
      </w:r>
      <w:r w:rsidR="0078141B" w:rsidRPr="00C85109">
        <w:rPr>
          <w:rFonts w:asciiTheme="minorHAnsi" w:hAnsiTheme="minorHAnsi" w:cstheme="minorHAnsi"/>
          <w:szCs w:val="21"/>
        </w:rPr>
        <w:t>,</w:t>
      </w:r>
      <w:r w:rsidRPr="00C85109">
        <w:rPr>
          <w:rFonts w:asciiTheme="minorHAnsi" w:hAnsiTheme="minorHAnsi" w:cstheme="minorHAnsi"/>
          <w:szCs w:val="21"/>
        </w:rPr>
        <w:t xml:space="preserve"> Drake, R.</w:t>
      </w:r>
      <w:r w:rsidR="00D81C9D" w:rsidRPr="00C85109">
        <w:rPr>
          <w:rFonts w:asciiTheme="minorHAnsi" w:hAnsiTheme="minorHAnsi" w:cstheme="minorHAnsi"/>
          <w:szCs w:val="21"/>
        </w:rPr>
        <w:t xml:space="preserve"> E.</w:t>
      </w:r>
      <w:r w:rsidR="0078141B" w:rsidRPr="00C85109">
        <w:rPr>
          <w:rFonts w:asciiTheme="minorHAnsi" w:hAnsiTheme="minorHAnsi" w:cstheme="minorHAnsi"/>
          <w:szCs w:val="21"/>
        </w:rPr>
        <w:t>,</w:t>
      </w:r>
      <w:r w:rsidRPr="00C85109">
        <w:rPr>
          <w:rFonts w:asciiTheme="minorHAnsi" w:hAnsiTheme="minorHAnsi" w:cstheme="minorHAnsi"/>
          <w:szCs w:val="21"/>
        </w:rPr>
        <w:t xml:space="preserve"> &amp; Bond, G.</w:t>
      </w:r>
      <w:r w:rsidR="00D81C9D" w:rsidRPr="00C85109">
        <w:rPr>
          <w:rFonts w:asciiTheme="minorHAnsi" w:hAnsiTheme="minorHAnsi" w:cstheme="minorHAnsi"/>
          <w:szCs w:val="21"/>
        </w:rPr>
        <w:t xml:space="preserve"> R.</w:t>
      </w:r>
      <w:r w:rsidRPr="00C85109">
        <w:rPr>
          <w:rFonts w:asciiTheme="minorHAnsi" w:hAnsiTheme="minorHAnsi" w:cstheme="minorHAnsi"/>
          <w:szCs w:val="21"/>
        </w:rPr>
        <w:t xml:space="preserve"> (2017). Barriers </w:t>
      </w:r>
      <w:r w:rsidR="0078141B" w:rsidRPr="00C85109">
        <w:rPr>
          <w:rFonts w:asciiTheme="minorHAnsi" w:hAnsiTheme="minorHAnsi" w:cstheme="minorHAnsi"/>
          <w:szCs w:val="21"/>
        </w:rPr>
        <w:t>to employment for transition-age youth with developmental and psychiatric disabilitie</w:t>
      </w:r>
      <w:r w:rsidRPr="00C85109">
        <w:rPr>
          <w:rFonts w:asciiTheme="minorHAnsi" w:hAnsiTheme="minorHAnsi" w:cstheme="minorHAnsi"/>
          <w:szCs w:val="21"/>
        </w:rPr>
        <w:t>s</w:t>
      </w:r>
      <w:r w:rsidR="0078141B" w:rsidRPr="00C85109">
        <w:rPr>
          <w:rFonts w:asciiTheme="minorHAnsi" w:hAnsiTheme="minorHAnsi" w:cstheme="minorHAnsi"/>
          <w:szCs w:val="21"/>
        </w:rPr>
        <w:t>.</w:t>
      </w:r>
      <w:r w:rsidRPr="00C85109">
        <w:rPr>
          <w:rFonts w:asciiTheme="minorHAnsi" w:hAnsiTheme="minorHAnsi" w:cstheme="minorHAnsi"/>
          <w:szCs w:val="21"/>
        </w:rPr>
        <w:t xml:space="preserve"> </w:t>
      </w:r>
      <w:r w:rsidR="00D81C9D" w:rsidRPr="00C85109">
        <w:rPr>
          <w:rFonts w:asciiTheme="minorHAnsi" w:hAnsiTheme="minorHAnsi" w:cstheme="minorHAnsi"/>
          <w:i/>
          <w:iCs/>
          <w:szCs w:val="21"/>
        </w:rPr>
        <w:t>Administration and Policy in Mental Health and Mental Health Services Research</w:t>
      </w:r>
      <w:r w:rsidRPr="00C85109">
        <w:rPr>
          <w:rFonts w:asciiTheme="minorHAnsi" w:hAnsiTheme="minorHAnsi" w:cstheme="minorHAnsi"/>
          <w:szCs w:val="21"/>
        </w:rPr>
        <w:t xml:space="preserve">, </w:t>
      </w:r>
      <w:r w:rsidRPr="00C85109">
        <w:rPr>
          <w:rFonts w:asciiTheme="minorHAnsi" w:hAnsiTheme="minorHAnsi" w:cstheme="minorHAnsi"/>
          <w:i/>
          <w:iCs/>
          <w:szCs w:val="21"/>
        </w:rPr>
        <w:t>44</w:t>
      </w:r>
      <w:r w:rsidR="002C43AA" w:rsidRPr="00C85109">
        <w:rPr>
          <w:rFonts w:asciiTheme="minorHAnsi" w:hAnsiTheme="minorHAnsi" w:cstheme="minorHAnsi"/>
          <w:szCs w:val="21"/>
        </w:rPr>
        <w:t>(3)</w:t>
      </w:r>
      <w:r w:rsidR="0078141B" w:rsidRPr="00C85109">
        <w:rPr>
          <w:rFonts w:asciiTheme="minorHAnsi" w:hAnsiTheme="minorHAnsi" w:cstheme="minorHAnsi"/>
          <w:szCs w:val="21"/>
        </w:rPr>
        <w:t xml:space="preserve">, </w:t>
      </w:r>
      <w:r w:rsidRPr="00C85109">
        <w:rPr>
          <w:rFonts w:asciiTheme="minorHAnsi" w:hAnsiTheme="minorHAnsi" w:cstheme="minorHAnsi"/>
          <w:szCs w:val="21"/>
        </w:rPr>
        <w:t>354</w:t>
      </w:r>
      <w:r w:rsidR="0078141B" w:rsidRPr="00C85109">
        <w:rPr>
          <w:rFonts w:asciiTheme="minorHAnsi" w:hAnsiTheme="minorHAnsi" w:cstheme="minorHAnsi"/>
          <w:szCs w:val="21"/>
        </w:rPr>
        <w:t>-</w:t>
      </w:r>
      <w:r w:rsidRPr="00C85109">
        <w:rPr>
          <w:rFonts w:asciiTheme="minorHAnsi" w:hAnsiTheme="minorHAnsi" w:cstheme="minorHAnsi"/>
          <w:szCs w:val="21"/>
        </w:rPr>
        <w:t>358</w:t>
      </w:r>
      <w:r w:rsidR="0078141B" w:rsidRPr="00C85109">
        <w:rPr>
          <w:rFonts w:asciiTheme="minorHAnsi" w:hAnsiTheme="minorHAnsi" w:cstheme="minorHAnsi"/>
          <w:szCs w:val="21"/>
        </w:rPr>
        <w:t>.</w:t>
      </w:r>
      <w:r w:rsidR="006B09B6" w:rsidRPr="00C85109">
        <w:rPr>
          <w:rFonts w:asciiTheme="minorHAnsi" w:hAnsiTheme="minorHAnsi" w:cstheme="minorHAnsi"/>
          <w:szCs w:val="21"/>
        </w:rPr>
        <w:t xml:space="preserve"> https://doi.org/10.1007/s10488-016-0773-y</w:t>
      </w:r>
    </w:p>
    <w:p w14:paraId="2F009012" w14:textId="0CA8C9C6" w:rsidR="00F308A9" w:rsidRDefault="00F308A9" w:rsidP="00CE427B">
      <w:pPr>
        <w:spacing w:before="0" w:after="120" w:line="276" w:lineRule="auto"/>
        <w:ind w:left="851" w:hanging="491"/>
        <w:rPr>
          <w:szCs w:val="21"/>
        </w:rPr>
      </w:pPr>
      <w:r>
        <w:rPr>
          <w:szCs w:val="21"/>
        </w:rPr>
        <w:t xml:space="preserve">O’Brien, J., Bowman, P., Chesley, B., Hughson, E. A., &amp; </w:t>
      </w:r>
      <w:proofErr w:type="spellStart"/>
      <w:r>
        <w:rPr>
          <w:szCs w:val="21"/>
        </w:rPr>
        <w:t>Uditsky</w:t>
      </w:r>
      <w:proofErr w:type="spellEnd"/>
      <w:r>
        <w:rPr>
          <w:szCs w:val="21"/>
        </w:rPr>
        <w:t xml:space="preserve">, B. (2009). </w:t>
      </w:r>
      <w:r w:rsidRPr="00F308A9">
        <w:rPr>
          <w:i/>
          <w:iCs/>
          <w:szCs w:val="21"/>
        </w:rPr>
        <w:t>Inclusive post-secondary education: Measuring quality and improving practice</w:t>
      </w:r>
      <w:r>
        <w:rPr>
          <w:szCs w:val="21"/>
        </w:rPr>
        <w:t xml:space="preserve">. Government of Alberta </w:t>
      </w:r>
    </w:p>
    <w:p w14:paraId="77E126F7" w14:textId="6AAAA172" w:rsidR="00E35816" w:rsidRPr="00C85109" w:rsidRDefault="00E35816" w:rsidP="00CE427B">
      <w:pPr>
        <w:spacing w:before="0" w:after="120" w:line="276" w:lineRule="auto"/>
        <w:ind w:left="851" w:hanging="491"/>
        <w:rPr>
          <w:rStyle w:val="Hyperlink"/>
          <w:rFonts w:asciiTheme="minorHAnsi" w:hAnsiTheme="minorHAnsi" w:cstheme="minorHAnsi"/>
          <w:color w:val="auto"/>
          <w:szCs w:val="21"/>
          <w:u w:val="none"/>
        </w:rPr>
      </w:pPr>
      <w:proofErr w:type="spellStart"/>
      <w:r w:rsidRPr="00C85109">
        <w:rPr>
          <w:rStyle w:val="Hyperlink"/>
          <w:rFonts w:asciiTheme="minorHAnsi" w:hAnsiTheme="minorHAnsi" w:cstheme="minorHAnsi"/>
          <w:color w:val="auto"/>
          <w:szCs w:val="21"/>
          <w:u w:val="none"/>
        </w:rPr>
        <w:t>Ouimette</w:t>
      </w:r>
      <w:proofErr w:type="spellEnd"/>
      <w:r w:rsidRPr="00C85109">
        <w:rPr>
          <w:rStyle w:val="Hyperlink"/>
          <w:rFonts w:asciiTheme="minorHAnsi" w:hAnsiTheme="minorHAnsi" w:cstheme="minorHAnsi"/>
          <w:color w:val="auto"/>
          <w:szCs w:val="21"/>
          <w:u w:val="none"/>
        </w:rPr>
        <w:t>, M.</w:t>
      </w:r>
      <w:r w:rsidR="0078141B" w:rsidRPr="00C85109">
        <w:rPr>
          <w:rStyle w:val="Hyperlink"/>
          <w:rFonts w:asciiTheme="minorHAnsi" w:hAnsiTheme="minorHAnsi" w:cstheme="minorHAnsi"/>
          <w:color w:val="auto"/>
          <w:szCs w:val="21"/>
          <w:u w:val="none"/>
        </w:rPr>
        <w:t>,</w:t>
      </w:r>
      <w:r w:rsidRPr="00C85109">
        <w:rPr>
          <w:rStyle w:val="Hyperlink"/>
          <w:rFonts w:asciiTheme="minorHAnsi" w:hAnsiTheme="minorHAnsi" w:cstheme="minorHAnsi"/>
          <w:color w:val="auto"/>
          <w:szCs w:val="21"/>
          <w:u w:val="none"/>
        </w:rPr>
        <w:t xml:space="preserve"> </w:t>
      </w:r>
      <w:r w:rsidR="0078141B" w:rsidRPr="00C85109">
        <w:rPr>
          <w:rStyle w:val="Hyperlink"/>
          <w:rFonts w:asciiTheme="minorHAnsi" w:hAnsiTheme="minorHAnsi" w:cstheme="minorHAnsi"/>
          <w:color w:val="auto"/>
          <w:szCs w:val="21"/>
          <w:u w:val="none"/>
        </w:rPr>
        <w:t>&amp;</w:t>
      </w:r>
      <w:r w:rsidRPr="00C85109">
        <w:rPr>
          <w:rStyle w:val="Hyperlink"/>
          <w:rFonts w:asciiTheme="minorHAnsi" w:hAnsiTheme="minorHAnsi" w:cstheme="minorHAnsi"/>
          <w:color w:val="auto"/>
          <w:szCs w:val="21"/>
          <w:u w:val="none"/>
        </w:rPr>
        <w:t xml:space="preserve"> </w:t>
      </w:r>
      <w:proofErr w:type="spellStart"/>
      <w:r w:rsidRPr="00C85109">
        <w:rPr>
          <w:rStyle w:val="Hyperlink"/>
          <w:rFonts w:asciiTheme="minorHAnsi" w:hAnsiTheme="minorHAnsi" w:cstheme="minorHAnsi"/>
          <w:color w:val="auto"/>
          <w:szCs w:val="21"/>
          <w:u w:val="none"/>
        </w:rPr>
        <w:t>Rammler</w:t>
      </w:r>
      <w:proofErr w:type="spellEnd"/>
      <w:r w:rsidRPr="00C85109">
        <w:rPr>
          <w:rStyle w:val="Hyperlink"/>
          <w:rFonts w:asciiTheme="minorHAnsi" w:hAnsiTheme="minorHAnsi" w:cstheme="minorHAnsi"/>
          <w:color w:val="auto"/>
          <w:szCs w:val="21"/>
          <w:u w:val="none"/>
        </w:rPr>
        <w:t xml:space="preserve">, L. </w:t>
      </w:r>
      <w:r w:rsidR="004514CE" w:rsidRPr="00C85109">
        <w:rPr>
          <w:rStyle w:val="Hyperlink"/>
          <w:rFonts w:asciiTheme="minorHAnsi" w:hAnsiTheme="minorHAnsi" w:cstheme="minorHAnsi"/>
          <w:color w:val="auto"/>
          <w:szCs w:val="21"/>
          <w:u w:val="none"/>
        </w:rPr>
        <w:t xml:space="preserve">H. </w:t>
      </w:r>
      <w:r w:rsidRPr="00C85109">
        <w:rPr>
          <w:rStyle w:val="Hyperlink"/>
          <w:rFonts w:asciiTheme="minorHAnsi" w:hAnsiTheme="minorHAnsi" w:cstheme="minorHAnsi"/>
          <w:color w:val="auto"/>
          <w:szCs w:val="21"/>
          <w:u w:val="none"/>
        </w:rPr>
        <w:t>(2017)</w:t>
      </w:r>
      <w:r w:rsidR="0078141B" w:rsidRPr="00C85109">
        <w:rPr>
          <w:rStyle w:val="Hyperlink"/>
          <w:rFonts w:asciiTheme="minorHAnsi" w:hAnsiTheme="minorHAnsi" w:cstheme="minorHAnsi"/>
          <w:color w:val="auto"/>
          <w:szCs w:val="21"/>
          <w:u w:val="none"/>
        </w:rPr>
        <w:t>.</w:t>
      </w:r>
      <w:r w:rsidRPr="00C85109">
        <w:rPr>
          <w:rStyle w:val="Hyperlink"/>
          <w:rFonts w:asciiTheme="minorHAnsi" w:hAnsiTheme="minorHAnsi" w:cstheme="minorHAnsi"/>
          <w:color w:val="auto"/>
          <w:szCs w:val="21"/>
          <w:u w:val="none"/>
        </w:rPr>
        <w:t xml:space="preserve"> Entrepreneurship </w:t>
      </w:r>
      <w:proofErr w:type="gramStart"/>
      <w:r w:rsidRPr="00C85109">
        <w:rPr>
          <w:rStyle w:val="Hyperlink"/>
          <w:rFonts w:asciiTheme="minorHAnsi" w:hAnsiTheme="minorHAnsi" w:cstheme="minorHAnsi"/>
          <w:color w:val="auto"/>
          <w:szCs w:val="21"/>
          <w:u w:val="none"/>
        </w:rPr>
        <w:t>as a means to</w:t>
      </w:r>
      <w:proofErr w:type="gramEnd"/>
      <w:r w:rsidRPr="00C85109">
        <w:rPr>
          <w:rStyle w:val="Hyperlink"/>
          <w:rFonts w:asciiTheme="minorHAnsi" w:hAnsiTheme="minorHAnsi" w:cstheme="minorHAnsi"/>
          <w:color w:val="auto"/>
          <w:szCs w:val="21"/>
          <w:u w:val="none"/>
        </w:rPr>
        <w:t xml:space="preserve"> employment first: How can it work? </w:t>
      </w:r>
      <w:r w:rsidRPr="00C85109">
        <w:rPr>
          <w:rFonts w:asciiTheme="minorHAnsi" w:hAnsiTheme="minorHAnsi" w:cstheme="minorHAnsi"/>
          <w:i/>
          <w:iCs/>
          <w:szCs w:val="21"/>
        </w:rPr>
        <w:t>Journal of Vocational Rehabilitation</w:t>
      </w:r>
      <w:r w:rsidR="0078141B" w:rsidRPr="00C85109">
        <w:rPr>
          <w:rFonts w:asciiTheme="minorHAnsi" w:hAnsiTheme="minorHAnsi" w:cstheme="minorHAnsi"/>
          <w:i/>
          <w:iCs/>
          <w:szCs w:val="21"/>
        </w:rPr>
        <w:t>,</w:t>
      </w:r>
      <w:r w:rsidRPr="00C85109">
        <w:rPr>
          <w:rFonts w:asciiTheme="minorHAnsi" w:hAnsiTheme="minorHAnsi" w:cstheme="minorHAnsi"/>
          <w:i/>
          <w:iCs/>
          <w:szCs w:val="21"/>
        </w:rPr>
        <w:t xml:space="preserve"> 46</w:t>
      </w:r>
      <w:r w:rsidR="004514CE" w:rsidRPr="00C85109">
        <w:rPr>
          <w:rFonts w:asciiTheme="minorHAnsi" w:hAnsiTheme="minorHAnsi" w:cstheme="minorHAnsi"/>
          <w:szCs w:val="21"/>
        </w:rPr>
        <w:t>(3)</w:t>
      </w:r>
      <w:r w:rsidRPr="00C85109">
        <w:rPr>
          <w:rFonts w:asciiTheme="minorHAnsi" w:hAnsiTheme="minorHAnsi" w:cstheme="minorHAnsi"/>
          <w:szCs w:val="21"/>
        </w:rPr>
        <w:t>, 333</w:t>
      </w:r>
      <w:r w:rsidR="0078141B" w:rsidRPr="00C85109">
        <w:rPr>
          <w:rFonts w:asciiTheme="minorHAnsi" w:hAnsiTheme="minorHAnsi" w:cstheme="minorHAnsi"/>
          <w:szCs w:val="21"/>
        </w:rPr>
        <w:t>-</w:t>
      </w:r>
      <w:r w:rsidRPr="00C85109">
        <w:rPr>
          <w:rFonts w:asciiTheme="minorHAnsi" w:hAnsiTheme="minorHAnsi" w:cstheme="minorHAnsi"/>
          <w:szCs w:val="21"/>
        </w:rPr>
        <w:t>339.</w:t>
      </w:r>
      <w:r w:rsidR="004514CE" w:rsidRPr="00C85109">
        <w:rPr>
          <w:rFonts w:asciiTheme="minorHAnsi" w:hAnsiTheme="minorHAnsi" w:cstheme="minorHAnsi"/>
          <w:szCs w:val="21"/>
        </w:rPr>
        <w:t xml:space="preserve"> https://doi.org/10.3233/JVR-170870</w:t>
      </w:r>
    </w:p>
    <w:p w14:paraId="13A0B6A9" w14:textId="5D8DED92" w:rsidR="00E35816" w:rsidRPr="00C85109" w:rsidRDefault="00E35816" w:rsidP="00CE427B">
      <w:pPr>
        <w:spacing w:before="0" w:after="120" w:line="276" w:lineRule="auto"/>
        <w:ind w:left="851" w:hanging="491"/>
        <w:rPr>
          <w:rFonts w:asciiTheme="minorHAnsi" w:hAnsiTheme="minorHAnsi" w:cstheme="minorHAnsi"/>
          <w:szCs w:val="21"/>
        </w:rPr>
      </w:pPr>
      <w:proofErr w:type="spellStart"/>
      <w:r w:rsidRPr="00C85109">
        <w:rPr>
          <w:rFonts w:asciiTheme="minorHAnsi" w:hAnsiTheme="minorHAnsi" w:cstheme="minorHAnsi"/>
          <w:szCs w:val="21"/>
        </w:rPr>
        <w:t>Papay</w:t>
      </w:r>
      <w:proofErr w:type="spellEnd"/>
      <w:r w:rsidRPr="00C85109">
        <w:rPr>
          <w:rFonts w:asciiTheme="minorHAnsi" w:hAnsiTheme="minorHAnsi" w:cstheme="minorHAnsi"/>
          <w:szCs w:val="21"/>
        </w:rPr>
        <w:t xml:space="preserve">, C. K., &amp; Bambara, L. M. (2014). Best </w:t>
      </w:r>
      <w:r w:rsidR="0078141B" w:rsidRPr="00C85109">
        <w:rPr>
          <w:rFonts w:asciiTheme="minorHAnsi" w:hAnsiTheme="minorHAnsi" w:cstheme="minorHAnsi"/>
          <w:szCs w:val="21"/>
        </w:rPr>
        <w:t>practices in transition to adult life for youth with intellectual disabilities.</w:t>
      </w:r>
      <w:r w:rsidRPr="00C85109">
        <w:rPr>
          <w:rFonts w:asciiTheme="minorHAnsi" w:hAnsiTheme="minorHAnsi" w:cstheme="minorHAnsi"/>
          <w:i/>
          <w:szCs w:val="21"/>
        </w:rPr>
        <w:t xml:space="preserve"> </w:t>
      </w:r>
      <w:r w:rsidRPr="00C85109">
        <w:rPr>
          <w:rFonts w:asciiTheme="minorHAnsi" w:hAnsiTheme="minorHAnsi" w:cstheme="minorHAnsi"/>
          <w:i/>
          <w:iCs/>
          <w:szCs w:val="21"/>
        </w:rPr>
        <w:t>Career Development and Transition for Exceptional Individuals, 37</w:t>
      </w:r>
      <w:r w:rsidRPr="00C85109">
        <w:rPr>
          <w:rFonts w:asciiTheme="minorHAnsi" w:hAnsiTheme="minorHAnsi" w:cstheme="minorHAnsi"/>
          <w:szCs w:val="21"/>
        </w:rPr>
        <w:t>(3), 136-148.</w:t>
      </w:r>
      <w:r w:rsidR="00243972" w:rsidRPr="00C85109">
        <w:rPr>
          <w:rFonts w:asciiTheme="minorHAnsi" w:hAnsiTheme="minorHAnsi" w:cstheme="minorHAnsi"/>
          <w:szCs w:val="21"/>
        </w:rPr>
        <w:t xml:space="preserve"> </w:t>
      </w:r>
      <w:r w:rsidR="00573C88" w:rsidRPr="00C85109">
        <w:rPr>
          <w:rFonts w:asciiTheme="minorHAnsi" w:hAnsiTheme="minorHAnsi" w:cstheme="minorHAnsi"/>
          <w:szCs w:val="21"/>
        </w:rPr>
        <w:t>https://doi.org/10.1177/2165143413486693</w:t>
      </w:r>
    </w:p>
    <w:p w14:paraId="178C3EA6" w14:textId="19F3F996" w:rsidR="00E35816" w:rsidRPr="00C85109" w:rsidRDefault="00E35816" w:rsidP="00154406">
      <w:pPr>
        <w:spacing w:after="120" w:line="276" w:lineRule="auto"/>
        <w:ind w:left="850" w:hanging="493"/>
        <w:rPr>
          <w:rFonts w:asciiTheme="minorHAnsi" w:hAnsiTheme="minorHAnsi" w:cstheme="minorHAnsi"/>
          <w:szCs w:val="21"/>
        </w:rPr>
      </w:pPr>
      <w:proofErr w:type="spellStart"/>
      <w:r w:rsidRPr="00C85109">
        <w:rPr>
          <w:rFonts w:asciiTheme="minorHAnsi" w:hAnsiTheme="minorHAnsi" w:cstheme="minorHAnsi"/>
          <w:szCs w:val="21"/>
        </w:rPr>
        <w:t>Petcu</w:t>
      </w:r>
      <w:proofErr w:type="spellEnd"/>
      <w:r w:rsidRPr="00C85109">
        <w:rPr>
          <w:rFonts w:asciiTheme="minorHAnsi" w:hAnsiTheme="minorHAnsi" w:cstheme="minorHAnsi"/>
          <w:szCs w:val="21"/>
        </w:rPr>
        <w:t xml:space="preserve">, S. D., </w:t>
      </w:r>
      <w:proofErr w:type="spellStart"/>
      <w:r w:rsidRPr="00C85109">
        <w:rPr>
          <w:rFonts w:asciiTheme="minorHAnsi" w:hAnsiTheme="minorHAnsi" w:cstheme="minorHAnsi"/>
          <w:szCs w:val="21"/>
        </w:rPr>
        <w:t>Chezan</w:t>
      </w:r>
      <w:proofErr w:type="spellEnd"/>
      <w:r w:rsidRPr="00C85109">
        <w:rPr>
          <w:rFonts w:asciiTheme="minorHAnsi" w:hAnsiTheme="minorHAnsi" w:cstheme="minorHAnsi"/>
          <w:szCs w:val="21"/>
        </w:rPr>
        <w:t xml:space="preserve">, L. C., &amp; Van Horn, M. L. (2015). Employment </w:t>
      </w:r>
      <w:r w:rsidR="0078141B" w:rsidRPr="00C85109">
        <w:rPr>
          <w:rFonts w:asciiTheme="minorHAnsi" w:hAnsiTheme="minorHAnsi" w:cstheme="minorHAnsi"/>
          <w:szCs w:val="21"/>
        </w:rPr>
        <w:t>support services for students with intellectual and developmental disabilities attending postsecondary education programs</w:t>
      </w:r>
      <w:r w:rsidRPr="00C85109">
        <w:rPr>
          <w:rFonts w:asciiTheme="minorHAnsi" w:hAnsiTheme="minorHAnsi" w:cstheme="minorHAnsi"/>
          <w:szCs w:val="21"/>
        </w:rPr>
        <w:t xml:space="preserve">. </w:t>
      </w:r>
      <w:r w:rsidRPr="00C85109">
        <w:rPr>
          <w:rFonts w:asciiTheme="minorHAnsi" w:hAnsiTheme="minorHAnsi" w:cstheme="minorHAnsi"/>
          <w:i/>
          <w:iCs/>
          <w:szCs w:val="21"/>
        </w:rPr>
        <w:t xml:space="preserve">Journal of Postsecondary Education </w:t>
      </w:r>
      <w:r w:rsidR="003B7E5F" w:rsidRPr="00C85109">
        <w:rPr>
          <w:rFonts w:asciiTheme="minorHAnsi" w:hAnsiTheme="minorHAnsi" w:cstheme="minorHAnsi"/>
          <w:i/>
          <w:iCs/>
          <w:szCs w:val="21"/>
        </w:rPr>
        <w:t>and</w:t>
      </w:r>
      <w:r w:rsidRPr="00C85109">
        <w:rPr>
          <w:rFonts w:asciiTheme="minorHAnsi" w:hAnsiTheme="minorHAnsi" w:cstheme="minorHAnsi"/>
          <w:i/>
          <w:iCs/>
          <w:szCs w:val="21"/>
        </w:rPr>
        <w:t xml:space="preserve"> Disability, 28</w:t>
      </w:r>
      <w:r w:rsidRPr="00C85109">
        <w:rPr>
          <w:rFonts w:asciiTheme="minorHAnsi" w:hAnsiTheme="minorHAnsi" w:cstheme="minorHAnsi"/>
          <w:szCs w:val="21"/>
        </w:rPr>
        <w:t>(3), 359</w:t>
      </w:r>
      <w:r w:rsidR="00856EA7" w:rsidRPr="00C85109">
        <w:rPr>
          <w:rFonts w:asciiTheme="minorHAnsi" w:hAnsiTheme="minorHAnsi" w:cstheme="minorHAnsi"/>
          <w:szCs w:val="21"/>
        </w:rPr>
        <w:t>-374</w:t>
      </w:r>
      <w:r w:rsidRPr="00C85109">
        <w:rPr>
          <w:rFonts w:asciiTheme="minorHAnsi" w:hAnsiTheme="minorHAnsi" w:cstheme="minorHAnsi"/>
          <w:szCs w:val="21"/>
        </w:rPr>
        <w:t xml:space="preserve">. </w:t>
      </w:r>
    </w:p>
    <w:p w14:paraId="7A4C2431" w14:textId="12E45915" w:rsidR="00E35816" w:rsidRPr="00C85109" w:rsidRDefault="00E35816" w:rsidP="00CE427B">
      <w:pPr>
        <w:spacing w:before="0" w:after="120" w:line="276" w:lineRule="auto"/>
        <w:ind w:left="851" w:hanging="491"/>
        <w:rPr>
          <w:rFonts w:asciiTheme="minorHAnsi" w:hAnsiTheme="minorHAnsi" w:cstheme="minorHAnsi"/>
          <w:szCs w:val="21"/>
        </w:rPr>
      </w:pPr>
      <w:proofErr w:type="spellStart"/>
      <w:r w:rsidRPr="00C85109">
        <w:rPr>
          <w:rFonts w:asciiTheme="minorHAnsi" w:hAnsiTheme="minorHAnsi" w:cstheme="minorHAnsi"/>
          <w:szCs w:val="21"/>
        </w:rPr>
        <w:t>Polidano</w:t>
      </w:r>
      <w:proofErr w:type="spellEnd"/>
      <w:r w:rsidRPr="00C85109">
        <w:rPr>
          <w:rFonts w:asciiTheme="minorHAnsi" w:hAnsiTheme="minorHAnsi" w:cstheme="minorHAnsi"/>
          <w:szCs w:val="21"/>
        </w:rPr>
        <w:t>, C.</w:t>
      </w:r>
      <w:r w:rsidR="00B568AF" w:rsidRPr="00C85109">
        <w:rPr>
          <w:rFonts w:asciiTheme="minorHAnsi" w:hAnsiTheme="minorHAnsi" w:cstheme="minorHAnsi"/>
          <w:szCs w:val="21"/>
        </w:rPr>
        <w:t>,</w:t>
      </w:r>
      <w:r w:rsidRPr="00C85109">
        <w:rPr>
          <w:rFonts w:asciiTheme="minorHAnsi" w:hAnsiTheme="minorHAnsi" w:cstheme="minorHAnsi"/>
          <w:szCs w:val="21"/>
        </w:rPr>
        <w:t xml:space="preserve"> &amp; </w:t>
      </w:r>
      <w:proofErr w:type="spellStart"/>
      <w:r w:rsidRPr="00C85109">
        <w:rPr>
          <w:rFonts w:asciiTheme="minorHAnsi" w:hAnsiTheme="minorHAnsi" w:cstheme="minorHAnsi"/>
          <w:szCs w:val="21"/>
        </w:rPr>
        <w:t>Mavromaras</w:t>
      </w:r>
      <w:proofErr w:type="spellEnd"/>
      <w:r w:rsidRPr="00C85109">
        <w:rPr>
          <w:rFonts w:asciiTheme="minorHAnsi" w:hAnsiTheme="minorHAnsi" w:cstheme="minorHAnsi"/>
          <w:szCs w:val="21"/>
        </w:rPr>
        <w:t xml:space="preserve">, K. (2011). </w:t>
      </w:r>
      <w:r w:rsidR="004364B2" w:rsidRPr="00C85109">
        <w:rPr>
          <w:rFonts w:asciiTheme="minorHAnsi" w:hAnsiTheme="minorHAnsi" w:cstheme="minorHAnsi"/>
          <w:szCs w:val="21"/>
        </w:rPr>
        <w:t>P</w:t>
      </w:r>
      <w:r w:rsidR="00B568AF" w:rsidRPr="00C85109">
        <w:rPr>
          <w:rFonts w:asciiTheme="minorHAnsi" w:hAnsiTheme="minorHAnsi" w:cstheme="minorHAnsi"/>
          <w:szCs w:val="21"/>
        </w:rPr>
        <w:t>articipation in and completion of vocational education and training for people with a disability.</w:t>
      </w:r>
      <w:r w:rsidRPr="00C85109">
        <w:rPr>
          <w:rFonts w:asciiTheme="minorHAnsi" w:hAnsiTheme="minorHAnsi" w:cstheme="minorHAnsi"/>
          <w:szCs w:val="21"/>
        </w:rPr>
        <w:t xml:space="preserve"> </w:t>
      </w:r>
      <w:r w:rsidRPr="00C85109">
        <w:rPr>
          <w:rFonts w:asciiTheme="minorHAnsi" w:hAnsiTheme="minorHAnsi" w:cstheme="minorHAnsi"/>
          <w:i/>
          <w:iCs/>
          <w:szCs w:val="21"/>
        </w:rPr>
        <w:t>The Australian Economic Review</w:t>
      </w:r>
      <w:r w:rsidRPr="00C85109">
        <w:rPr>
          <w:rFonts w:asciiTheme="minorHAnsi" w:hAnsiTheme="minorHAnsi" w:cstheme="minorHAnsi"/>
          <w:szCs w:val="21"/>
        </w:rPr>
        <w:t xml:space="preserve">, </w:t>
      </w:r>
      <w:r w:rsidRPr="00C85109">
        <w:rPr>
          <w:rFonts w:asciiTheme="minorHAnsi" w:hAnsiTheme="minorHAnsi" w:cstheme="minorHAnsi"/>
          <w:i/>
          <w:iCs/>
          <w:szCs w:val="21"/>
        </w:rPr>
        <w:t>44</w:t>
      </w:r>
      <w:r w:rsidR="00B568AF" w:rsidRPr="00C85109">
        <w:rPr>
          <w:rFonts w:asciiTheme="minorHAnsi" w:hAnsiTheme="minorHAnsi" w:cstheme="minorHAnsi"/>
          <w:szCs w:val="21"/>
        </w:rPr>
        <w:t>(</w:t>
      </w:r>
      <w:r w:rsidRPr="00C85109">
        <w:rPr>
          <w:rFonts w:asciiTheme="minorHAnsi" w:hAnsiTheme="minorHAnsi" w:cstheme="minorHAnsi"/>
          <w:szCs w:val="21"/>
        </w:rPr>
        <w:t>2</w:t>
      </w:r>
      <w:r w:rsidR="00B568AF" w:rsidRPr="00C85109">
        <w:rPr>
          <w:rFonts w:asciiTheme="minorHAnsi" w:hAnsiTheme="minorHAnsi" w:cstheme="minorHAnsi"/>
          <w:szCs w:val="21"/>
        </w:rPr>
        <w:t>),</w:t>
      </w:r>
      <w:r w:rsidRPr="00C85109">
        <w:rPr>
          <w:rFonts w:asciiTheme="minorHAnsi" w:hAnsiTheme="minorHAnsi" w:cstheme="minorHAnsi"/>
          <w:szCs w:val="21"/>
        </w:rPr>
        <w:t xml:space="preserve"> 137</w:t>
      </w:r>
      <w:r w:rsidR="0092612E" w:rsidRPr="00C85109">
        <w:rPr>
          <w:rFonts w:asciiTheme="minorHAnsi" w:hAnsiTheme="minorHAnsi" w:cstheme="minorHAnsi"/>
          <w:szCs w:val="21"/>
        </w:rPr>
        <w:t>-</w:t>
      </w:r>
      <w:r w:rsidRPr="00C85109">
        <w:rPr>
          <w:rFonts w:asciiTheme="minorHAnsi" w:hAnsiTheme="minorHAnsi" w:cstheme="minorHAnsi"/>
          <w:szCs w:val="21"/>
        </w:rPr>
        <w:t>152.</w:t>
      </w:r>
      <w:r w:rsidR="00121FBA" w:rsidRPr="00C85109">
        <w:rPr>
          <w:rFonts w:asciiTheme="minorHAnsi" w:hAnsiTheme="minorHAnsi" w:cstheme="minorHAnsi"/>
          <w:szCs w:val="21"/>
        </w:rPr>
        <w:t xml:space="preserve"> https://doi.org/10.1111/j.1467-8462.2011.00632.x</w:t>
      </w:r>
    </w:p>
    <w:p w14:paraId="56156D5A" w14:textId="031EC1E3" w:rsidR="00E35816" w:rsidRPr="00C85109" w:rsidRDefault="00E35816" w:rsidP="00CE427B">
      <w:pPr>
        <w:spacing w:before="0" w:after="120" w:line="276" w:lineRule="auto"/>
        <w:ind w:left="851" w:hanging="491"/>
        <w:rPr>
          <w:rFonts w:asciiTheme="minorHAnsi" w:hAnsiTheme="minorHAnsi" w:cstheme="minorHAnsi"/>
          <w:szCs w:val="21"/>
        </w:rPr>
      </w:pPr>
      <w:r w:rsidRPr="00C85109">
        <w:rPr>
          <w:rFonts w:asciiTheme="minorHAnsi" w:hAnsiTheme="minorHAnsi" w:cstheme="minorHAnsi"/>
          <w:szCs w:val="21"/>
        </w:rPr>
        <w:t>Potts, B. (2005)</w:t>
      </w:r>
      <w:r w:rsidR="0092612E" w:rsidRPr="00C85109">
        <w:rPr>
          <w:rFonts w:asciiTheme="minorHAnsi" w:hAnsiTheme="minorHAnsi" w:cstheme="minorHAnsi"/>
          <w:szCs w:val="21"/>
        </w:rPr>
        <w:t>.</w:t>
      </w:r>
      <w:r w:rsidRPr="00C85109">
        <w:rPr>
          <w:rFonts w:asciiTheme="minorHAnsi" w:hAnsiTheme="minorHAnsi" w:cstheme="minorHAnsi"/>
          <w:szCs w:val="21"/>
        </w:rPr>
        <w:t xml:space="preserve"> Disability and </w:t>
      </w:r>
      <w:r w:rsidR="0092612E" w:rsidRPr="00C85109">
        <w:rPr>
          <w:rFonts w:asciiTheme="minorHAnsi" w:hAnsiTheme="minorHAnsi" w:cstheme="minorHAnsi"/>
          <w:szCs w:val="21"/>
        </w:rPr>
        <w:t>e</w:t>
      </w:r>
      <w:r w:rsidRPr="00C85109">
        <w:rPr>
          <w:rFonts w:asciiTheme="minorHAnsi" w:hAnsiTheme="minorHAnsi" w:cstheme="minorHAnsi"/>
          <w:szCs w:val="21"/>
        </w:rPr>
        <w:t>mployment: Conside</w:t>
      </w:r>
      <w:r w:rsidR="0092612E" w:rsidRPr="00C85109">
        <w:rPr>
          <w:rFonts w:asciiTheme="minorHAnsi" w:hAnsiTheme="minorHAnsi" w:cstheme="minorHAnsi"/>
          <w:szCs w:val="21"/>
        </w:rPr>
        <w:t>ring the importance of social capital.</w:t>
      </w:r>
      <w:r w:rsidRPr="00C85109">
        <w:rPr>
          <w:rFonts w:asciiTheme="minorHAnsi" w:hAnsiTheme="minorHAnsi" w:cstheme="minorHAnsi"/>
          <w:szCs w:val="21"/>
        </w:rPr>
        <w:t xml:space="preserve"> </w:t>
      </w:r>
      <w:r w:rsidRPr="00C85109">
        <w:rPr>
          <w:rFonts w:asciiTheme="minorHAnsi" w:hAnsiTheme="minorHAnsi" w:cstheme="minorHAnsi"/>
          <w:i/>
          <w:iCs/>
          <w:szCs w:val="21"/>
        </w:rPr>
        <w:t>Journal of Rehabilitation</w:t>
      </w:r>
      <w:r w:rsidRPr="00C85109">
        <w:rPr>
          <w:rFonts w:asciiTheme="minorHAnsi" w:hAnsiTheme="minorHAnsi" w:cstheme="minorHAnsi"/>
          <w:szCs w:val="21"/>
        </w:rPr>
        <w:t xml:space="preserve">, </w:t>
      </w:r>
      <w:r w:rsidRPr="00C85109">
        <w:rPr>
          <w:rFonts w:asciiTheme="minorHAnsi" w:hAnsiTheme="minorHAnsi" w:cstheme="minorHAnsi"/>
          <w:i/>
          <w:iCs/>
          <w:szCs w:val="21"/>
        </w:rPr>
        <w:t>71</w:t>
      </w:r>
      <w:r w:rsidR="004364B2" w:rsidRPr="00C85109">
        <w:rPr>
          <w:rFonts w:asciiTheme="minorHAnsi" w:hAnsiTheme="minorHAnsi" w:cstheme="minorHAnsi"/>
          <w:szCs w:val="21"/>
        </w:rPr>
        <w:t>(</w:t>
      </w:r>
      <w:r w:rsidRPr="00C85109">
        <w:rPr>
          <w:rFonts w:asciiTheme="minorHAnsi" w:hAnsiTheme="minorHAnsi" w:cstheme="minorHAnsi"/>
          <w:szCs w:val="21"/>
        </w:rPr>
        <w:t>3</w:t>
      </w:r>
      <w:r w:rsidR="004364B2" w:rsidRPr="00C85109">
        <w:rPr>
          <w:rFonts w:asciiTheme="minorHAnsi" w:hAnsiTheme="minorHAnsi" w:cstheme="minorHAnsi"/>
          <w:szCs w:val="21"/>
        </w:rPr>
        <w:t>),</w:t>
      </w:r>
      <w:r w:rsidRPr="00C85109">
        <w:rPr>
          <w:rFonts w:asciiTheme="minorHAnsi" w:hAnsiTheme="minorHAnsi" w:cstheme="minorHAnsi"/>
          <w:szCs w:val="21"/>
        </w:rPr>
        <w:t xml:space="preserve"> 20-25.</w:t>
      </w:r>
    </w:p>
    <w:p w14:paraId="4E00E367" w14:textId="7E5466FC" w:rsidR="00780C99" w:rsidRPr="00C85109" w:rsidRDefault="00780C99" w:rsidP="00CE427B">
      <w:pPr>
        <w:spacing w:before="0" w:after="120" w:line="276" w:lineRule="auto"/>
        <w:ind w:left="851" w:hanging="491"/>
        <w:rPr>
          <w:rFonts w:asciiTheme="minorHAnsi" w:hAnsiTheme="minorHAnsi" w:cstheme="minorHAnsi"/>
          <w:i/>
          <w:iCs/>
          <w:szCs w:val="21"/>
        </w:rPr>
      </w:pPr>
      <w:r w:rsidRPr="00C85109">
        <w:rPr>
          <w:rFonts w:asciiTheme="minorHAnsi" w:hAnsiTheme="minorHAnsi" w:cstheme="minorHAnsi"/>
          <w:szCs w:val="21"/>
        </w:rPr>
        <w:t xml:space="preserve">Preparing for Adulthood. (n.d.). </w:t>
      </w:r>
      <w:r w:rsidR="00DE3FB2" w:rsidRPr="00C85109">
        <w:rPr>
          <w:rFonts w:asciiTheme="minorHAnsi" w:hAnsiTheme="minorHAnsi" w:cstheme="minorHAnsi"/>
          <w:i/>
          <w:iCs/>
          <w:szCs w:val="21"/>
        </w:rPr>
        <w:t>Project search - a model for supported internships.</w:t>
      </w:r>
      <w:r w:rsidR="00DE3FB2" w:rsidRPr="00C85109">
        <w:rPr>
          <w:rFonts w:asciiTheme="minorHAnsi" w:hAnsiTheme="minorHAnsi" w:cstheme="minorHAnsi"/>
          <w:szCs w:val="21"/>
        </w:rPr>
        <w:t xml:space="preserve"> https://www.preparingforadulthood.org.uk/downloads/supported-internships/project-search-a-model-for-supported-internships.htm</w:t>
      </w:r>
    </w:p>
    <w:p w14:paraId="2DE541F1" w14:textId="05EA5714" w:rsidR="00133A27" w:rsidRPr="00C85109" w:rsidRDefault="00133A27" w:rsidP="00133A27">
      <w:pPr>
        <w:spacing w:before="0" w:after="120" w:line="276" w:lineRule="auto"/>
        <w:ind w:left="851" w:hanging="491"/>
        <w:rPr>
          <w:rFonts w:asciiTheme="minorHAnsi" w:hAnsiTheme="minorHAnsi" w:cstheme="minorHAnsi"/>
          <w:szCs w:val="21"/>
        </w:rPr>
      </w:pPr>
      <w:r w:rsidRPr="00C85109">
        <w:rPr>
          <w:rFonts w:asciiTheme="minorHAnsi" w:hAnsiTheme="minorHAnsi" w:cstheme="minorHAnsi"/>
          <w:szCs w:val="21"/>
        </w:rPr>
        <w:t xml:space="preserve">Productivity Commission (2020a). </w:t>
      </w:r>
      <w:r w:rsidRPr="00C85109">
        <w:rPr>
          <w:rFonts w:asciiTheme="minorHAnsi" w:hAnsiTheme="minorHAnsi" w:cstheme="minorHAnsi"/>
          <w:i/>
          <w:iCs/>
          <w:szCs w:val="21"/>
        </w:rPr>
        <w:t>Report on government services 2020</w:t>
      </w:r>
      <w:r w:rsidRPr="00C85109">
        <w:rPr>
          <w:rFonts w:asciiTheme="minorHAnsi" w:hAnsiTheme="minorHAnsi" w:cstheme="minorHAnsi"/>
          <w:szCs w:val="21"/>
        </w:rPr>
        <w:t xml:space="preserve">. </w:t>
      </w:r>
      <w:r w:rsidRPr="00C85109">
        <w:rPr>
          <w:rFonts w:asciiTheme="minorHAnsi" w:hAnsiTheme="minorHAnsi" w:cstheme="minorHAnsi"/>
          <w:i/>
          <w:iCs/>
          <w:szCs w:val="21"/>
        </w:rPr>
        <w:t xml:space="preserve">Part B. Section 4: School </w:t>
      </w:r>
      <w:r w:rsidR="00231992" w:rsidRPr="00C85109">
        <w:rPr>
          <w:rFonts w:asciiTheme="minorHAnsi" w:hAnsiTheme="minorHAnsi" w:cstheme="minorHAnsi"/>
          <w:i/>
          <w:iCs/>
          <w:szCs w:val="21"/>
        </w:rPr>
        <w:t>ed</w:t>
      </w:r>
      <w:r w:rsidRPr="00C85109">
        <w:rPr>
          <w:rFonts w:asciiTheme="minorHAnsi" w:hAnsiTheme="minorHAnsi" w:cstheme="minorHAnsi"/>
          <w:i/>
          <w:iCs/>
          <w:szCs w:val="21"/>
        </w:rPr>
        <w:t>ucation</w:t>
      </w:r>
      <w:r w:rsidRPr="00C85109">
        <w:rPr>
          <w:rFonts w:asciiTheme="minorHAnsi" w:hAnsiTheme="minorHAnsi" w:cstheme="minorHAnsi"/>
          <w:szCs w:val="21"/>
        </w:rPr>
        <w:t>. https://www.pc.gov.au/research/ongoing/report-on-government-services/2020/child-care-education-and-training/school-education/rogs-2020-partb-section4.pdf</w:t>
      </w:r>
    </w:p>
    <w:p w14:paraId="0F10F1C9" w14:textId="0CFD4FE1" w:rsidR="00E35816" w:rsidRPr="00C85109" w:rsidRDefault="00E35816" w:rsidP="00CE427B">
      <w:pPr>
        <w:spacing w:before="0" w:after="120" w:line="276" w:lineRule="auto"/>
        <w:ind w:left="851" w:hanging="491"/>
        <w:rPr>
          <w:rFonts w:asciiTheme="minorHAnsi" w:hAnsiTheme="minorHAnsi" w:cstheme="minorHAnsi"/>
          <w:szCs w:val="21"/>
        </w:rPr>
      </w:pPr>
      <w:r w:rsidRPr="00C85109">
        <w:rPr>
          <w:rFonts w:asciiTheme="minorHAnsi" w:hAnsiTheme="minorHAnsi" w:cstheme="minorHAnsi"/>
          <w:szCs w:val="21"/>
        </w:rPr>
        <w:t>Productivity Commission (2020</w:t>
      </w:r>
      <w:r w:rsidR="00133A27" w:rsidRPr="00C85109">
        <w:rPr>
          <w:rFonts w:asciiTheme="minorHAnsi" w:hAnsiTheme="minorHAnsi" w:cstheme="minorHAnsi"/>
          <w:szCs w:val="21"/>
        </w:rPr>
        <w:t>b</w:t>
      </w:r>
      <w:r w:rsidRPr="00C85109">
        <w:rPr>
          <w:rFonts w:asciiTheme="minorHAnsi" w:hAnsiTheme="minorHAnsi" w:cstheme="minorHAnsi"/>
          <w:szCs w:val="21"/>
        </w:rPr>
        <w:t xml:space="preserve">). </w:t>
      </w:r>
      <w:r w:rsidRPr="00C85109">
        <w:rPr>
          <w:rFonts w:asciiTheme="minorHAnsi" w:hAnsiTheme="minorHAnsi" w:cstheme="minorHAnsi"/>
          <w:i/>
          <w:iCs/>
          <w:szCs w:val="21"/>
        </w:rPr>
        <w:t>Report on government services 2020</w:t>
      </w:r>
      <w:r w:rsidRPr="00C85109">
        <w:rPr>
          <w:rFonts w:asciiTheme="minorHAnsi" w:hAnsiTheme="minorHAnsi" w:cstheme="minorHAnsi"/>
          <w:szCs w:val="21"/>
        </w:rPr>
        <w:t xml:space="preserve">. </w:t>
      </w:r>
      <w:r w:rsidRPr="00C85109">
        <w:rPr>
          <w:rFonts w:asciiTheme="minorHAnsi" w:hAnsiTheme="minorHAnsi" w:cstheme="minorHAnsi"/>
          <w:i/>
          <w:iCs/>
          <w:szCs w:val="21"/>
        </w:rPr>
        <w:t xml:space="preserve">Part B. Section 5: Vocational </w:t>
      </w:r>
      <w:r w:rsidR="00231992" w:rsidRPr="00C85109">
        <w:rPr>
          <w:rFonts w:asciiTheme="minorHAnsi" w:hAnsiTheme="minorHAnsi" w:cstheme="minorHAnsi"/>
          <w:i/>
          <w:iCs/>
          <w:szCs w:val="21"/>
        </w:rPr>
        <w:t>education and training</w:t>
      </w:r>
      <w:r w:rsidR="008D399F" w:rsidRPr="00C85109">
        <w:rPr>
          <w:rFonts w:asciiTheme="minorHAnsi" w:hAnsiTheme="minorHAnsi" w:cstheme="minorHAnsi"/>
          <w:i/>
          <w:iCs/>
          <w:szCs w:val="21"/>
        </w:rPr>
        <w:t>.</w:t>
      </w:r>
      <w:r w:rsidRPr="00C85109">
        <w:rPr>
          <w:rFonts w:asciiTheme="minorHAnsi" w:hAnsiTheme="minorHAnsi" w:cstheme="minorHAnsi"/>
          <w:szCs w:val="21"/>
        </w:rPr>
        <w:t xml:space="preserve"> </w:t>
      </w:r>
      <w:r w:rsidR="00133A27" w:rsidRPr="00C85109">
        <w:rPr>
          <w:rFonts w:asciiTheme="minorHAnsi" w:hAnsiTheme="minorHAnsi" w:cstheme="minorHAnsi"/>
          <w:szCs w:val="21"/>
        </w:rPr>
        <w:t>https://www.pc.gov.au/research/ongoing/report-on-government-</w:t>
      </w:r>
      <w:r w:rsidR="00133A27" w:rsidRPr="00C85109">
        <w:rPr>
          <w:rFonts w:asciiTheme="minorHAnsi" w:hAnsiTheme="minorHAnsi" w:cstheme="minorHAnsi"/>
          <w:szCs w:val="21"/>
        </w:rPr>
        <w:lastRenderedPageBreak/>
        <w:t>services/2020/child-care-education-and-training/vocational-education-and-training/rogs-2020-partb-section5.pdf</w:t>
      </w:r>
    </w:p>
    <w:p w14:paraId="015C2851" w14:textId="6BEB04D3" w:rsidR="002C39C2" w:rsidRPr="00C85109" w:rsidRDefault="002C39C2" w:rsidP="00CE427B">
      <w:pPr>
        <w:spacing w:before="0" w:after="120" w:line="276" w:lineRule="auto"/>
        <w:ind w:left="851" w:hanging="491"/>
        <w:rPr>
          <w:rFonts w:asciiTheme="minorHAnsi" w:hAnsiTheme="minorHAnsi" w:cstheme="minorHAnsi"/>
          <w:szCs w:val="21"/>
        </w:rPr>
      </w:pPr>
      <w:r w:rsidRPr="00C85109">
        <w:rPr>
          <w:rFonts w:asciiTheme="minorHAnsi" w:hAnsiTheme="minorHAnsi" w:cstheme="minorHAnsi"/>
          <w:szCs w:val="21"/>
        </w:rPr>
        <w:t>Project SEARCH</w:t>
      </w:r>
      <w:r w:rsidR="009F4113" w:rsidRPr="00C85109">
        <w:rPr>
          <w:rFonts w:asciiTheme="minorHAnsi" w:hAnsiTheme="minorHAnsi" w:cstheme="minorHAnsi"/>
          <w:szCs w:val="21"/>
        </w:rPr>
        <w:t xml:space="preserve">. (n.d.). </w:t>
      </w:r>
      <w:r w:rsidR="009F4113" w:rsidRPr="00C85109">
        <w:rPr>
          <w:rFonts w:asciiTheme="minorHAnsi" w:hAnsiTheme="minorHAnsi" w:cstheme="minorHAnsi"/>
          <w:i/>
          <w:iCs/>
          <w:szCs w:val="21"/>
        </w:rPr>
        <w:t xml:space="preserve">Program. </w:t>
      </w:r>
      <w:r w:rsidR="009F4113" w:rsidRPr="00C85109">
        <w:rPr>
          <w:rFonts w:asciiTheme="minorHAnsi" w:hAnsiTheme="minorHAnsi" w:cstheme="minorHAnsi"/>
          <w:szCs w:val="21"/>
        </w:rPr>
        <w:t>https://www.projectsearch.us/transition-to-work/</w:t>
      </w:r>
    </w:p>
    <w:p w14:paraId="7B702D28" w14:textId="1825E8AE" w:rsidR="00E35816" w:rsidRPr="00C85109" w:rsidRDefault="00E35816" w:rsidP="00CE427B">
      <w:pPr>
        <w:spacing w:before="0" w:after="120" w:line="276" w:lineRule="auto"/>
        <w:ind w:left="851" w:hanging="491"/>
        <w:rPr>
          <w:rFonts w:asciiTheme="minorHAnsi" w:hAnsiTheme="minorHAnsi" w:cstheme="minorHAnsi"/>
          <w:szCs w:val="21"/>
        </w:rPr>
      </w:pPr>
      <w:r w:rsidRPr="00C85109">
        <w:rPr>
          <w:rFonts w:asciiTheme="minorHAnsi" w:hAnsiTheme="minorHAnsi" w:cstheme="minorHAnsi"/>
          <w:szCs w:val="21"/>
        </w:rPr>
        <w:t>Putnam, R.</w:t>
      </w:r>
      <w:r w:rsidR="00BA6DE6" w:rsidRPr="00C85109">
        <w:rPr>
          <w:rFonts w:asciiTheme="minorHAnsi" w:hAnsiTheme="minorHAnsi" w:cstheme="minorHAnsi"/>
          <w:szCs w:val="21"/>
        </w:rPr>
        <w:t xml:space="preserve"> D.</w:t>
      </w:r>
      <w:r w:rsidRPr="00C85109">
        <w:rPr>
          <w:rFonts w:asciiTheme="minorHAnsi" w:hAnsiTheme="minorHAnsi" w:cstheme="minorHAnsi"/>
          <w:szCs w:val="21"/>
        </w:rPr>
        <w:t xml:space="preserve"> (2000). </w:t>
      </w:r>
      <w:r w:rsidRPr="00C85109">
        <w:rPr>
          <w:rFonts w:asciiTheme="minorHAnsi" w:hAnsiTheme="minorHAnsi" w:cstheme="minorHAnsi"/>
          <w:i/>
          <w:iCs/>
          <w:szCs w:val="21"/>
        </w:rPr>
        <w:t>Bowling Alone</w:t>
      </w:r>
      <w:r w:rsidR="006F4E46" w:rsidRPr="00C85109">
        <w:rPr>
          <w:rFonts w:asciiTheme="minorHAnsi" w:hAnsiTheme="minorHAnsi" w:cstheme="minorHAnsi"/>
          <w:i/>
          <w:iCs/>
          <w:szCs w:val="21"/>
        </w:rPr>
        <w:t xml:space="preserve">: </w:t>
      </w:r>
      <w:r w:rsidR="006F4E46" w:rsidRPr="00C85109">
        <w:rPr>
          <w:rStyle w:val="hgkelc"/>
          <w:rFonts w:asciiTheme="minorHAnsi" w:hAnsiTheme="minorHAnsi" w:cstheme="minorHAnsi"/>
          <w:i/>
          <w:iCs/>
          <w:szCs w:val="21"/>
        </w:rPr>
        <w:t>The Collapse and Revival of American Community</w:t>
      </w:r>
      <w:r w:rsidRPr="00C85109">
        <w:rPr>
          <w:rFonts w:asciiTheme="minorHAnsi" w:hAnsiTheme="minorHAnsi" w:cstheme="minorHAnsi"/>
          <w:szCs w:val="21"/>
        </w:rPr>
        <w:t>. Simon and Schuster</w:t>
      </w:r>
      <w:r w:rsidR="00BA6DE6" w:rsidRPr="00C85109">
        <w:rPr>
          <w:rFonts w:asciiTheme="minorHAnsi" w:hAnsiTheme="minorHAnsi" w:cstheme="minorHAnsi"/>
          <w:szCs w:val="21"/>
        </w:rPr>
        <w:t xml:space="preserve">. </w:t>
      </w:r>
    </w:p>
    <w:p w14:paraId="1981575D" w14:textId="4D40B0C5" w:rsidR="00E35816" w:rsidRPr="00C85109" w:rsidRDefault="00E35816" w:rsidP="00CE427B">
      <w:pPr>
        <w:spacing w:before="0" w:after="120" w:line="276" w:lineRule="auto"/>
        <w:ind w:left="851" w:hanging="491"/>
        <w:rPr>
          <w:rFonts w:asciiTheme="minorHAnsi" w:hAnsiTheme="minorHAnsi" w:cstheme="minorHAnsi"/>
          <w:szCs w:val="21"/>
        </w:rPr>
      </w:pPr>
      <w:proofErr w:type="spellStart"/>
      <w:r w:rsidRPr="00C85109">
        <w:rPr>
          <w:rFonts w:asciiTheme="minorHAnsi" w:hAnsiTheme="minorHAnsi" w:cstheme="minorHAnsi"/>
          <w:szCs w:val="21"/>
        </w:rPr>
        <w:t>Rantatalo</w:t>
      </w:r>
      <w:proofErr w:type="spellEnd"/>
      <w:r w:rsidRPr="00C85109">
        <w:rPr>
          <w:rFonts w:asciiTheme="minorHAnsi" w:hAnsiTheme="minorHAnsi" w:cstheme="minorHAnsi"/>
          <w:szCs w:val="21"/>
        </w:rPr>
        <w:t>, O</w:t>
      </w:r>
      <w:r w:rsidR="009169DD" w:rsidRPr="00C85109">
        <w:rPr>
          <w:rFonts w:asciiTheme="minorHAnsi" w:hAnsiTheme="minorHAnsi" w:cstheme="minorHAnsi"/>
          <w:szCs w:val="21"/>
        </w:rPr>
        <w:t>.</w:t>
      </w:r>
      <w:r w:rsidRPr="00C85109">
        <w:rPr>
          <w:rFonts w:asciiTheme="minorHAnsi" w:hAnsiTheme="minorHAnsi" w:cstheme="minorHAnsi"/>
          <w:szCs w:val="21"/>
        </w:rPr>
        <w:t xml:space="preserve">, </w:t>
      </w:r>
      <w:proofErr w:type="spellStart"/>
      <w:r w:rsidRPr="00C85109">
        <w:rPr>
          <w:rFonts w:asciiTheme="minorHAnsi" w:hAnsiTheme="minorHAnsi" w:cstheme="minorHAnsi"/>
          <w:szCs w:val="21"/>
        </w:rPr>
        <w:t>Sjöberg</w:t>
      </w:r>
      <w:proofErr w:type="spellEnd"/>
      <w:r w:rsidRPr="00C85109">
        <w:rPr>
          <w:rFonts w:asciiTheme="minorHAnsi" w:hAnsiTheme="minorHAnsi" w:cstheme="minorHAnsi"/>
          <w:szCs w:val="21"/>
        </w:rPr>
        <w:t>, D.</w:t>
      </w:r>
      <w:r w:rsidR="009169DD" w:rsidRPr="00C85109">
        <w:rPr>
          <w:rFonts w:asciiTheme="minorHAnsi" w:hAnsiTheme="minorHAnsi" w:cstheme="minorHAnsi"/>
          <w:szCs w:val="21"/>
        </w:rPr>
        <w:t>,</w:t>
      </w:r>
      <w:r w:rsidRPr="00C85109">
        <w:rPr>
          <w:rFonts w:asciiTheme="minorHAnsi" w:hAnsiTheme="minorHAnsi" w:cstheme="minorHAnsi"/>
          <w:szCs w:val="21"/>
        </w:rPr>
        <w:t xml:space="preserve"> &amp; Karp</w:t>
      </w:r>
      <w:r w:rsidR="009169DD" w:rsidRPr="00C85109">
        <w:rPr>
          <w:rFonts w:asciiTheme="minorHAnsi" w:hAnsiTheme="minorHAnsi" w:cstheme="minorHAnsi"/>
          <w:szCs w:val="21"/>
        </w:rPr>
        <w:t>,</w:t>
      </w:r>
      <w:r w:rsidRPr="00C85109">
        <w:rPr>
          <w:rFonts w:asciiTheme="minorHAnsi" w:hAnsiTheme="minorHAnsi" w:cstheme="minorHAnsi"/>
          <w:szCs w:val="21"/>
        </w:rPr>
        <w:t xml:space="preserve"> S. (2019). Supporting roles in live simulations: </w:t>
      </w:r>
      <w:r w:rsidR="009169DD" w:rsidRPr="00C85109">
        <w:rPr>
          <w:rFonts w:asciiTheme="minorHAnsi" w:hAnsiTheme="minorHAnsi" w:cstheme="minorHAnsi"/>
          <w:szCs w:val="21"/>
        </w:rPr>
        <w:t>H</w:t>
      </w:r>
      <w:r w:rsidRPr="00C85109">
        <w:rPr>
          <w:rFonts w:asciiTheme="minorHAnsi" w:hAnsiTheme="minorHAnsi" w:cstheme="minorHAnsi"/>
          <w:szCs w:val="21"/>
        </w:rPr>
        <w:t>ow observers and confederates can facilitate learning</w:t>
      </w:r>
      <w:r w:rsidR="009169DD" w:rsidRPr="00C85109">
        <w:rPr>
          <w:rFonts w:asciiTheme="minorHAnsi" w:hAnsiTheme="minorHAnsi" w:cstheme="minorHAnsi"/>
          <w:szCs w:val="21"/>
        </w:rPr>
        <w:t>.</w:t>
      </w:r>
      <w:r w:rsidRPr="00C85109">
        <w:rPr>
          <w:rFonts w:asciiTheme="minorHAnsi" w:hAnsiTheme="minorHAnsi" w:cstheme="minorHAnsi"/>
          <w:szCs w:val="21"/>
        </w:rPr>
        <w:t xml:space="preserve"> </w:t>
      </w:r>
      <w:r w:rsidRPr="00C85109">
        <w:rPr>
          <w:rFonts w:asciiTheme="minorHAnsi" w:hAnsiTheme="minorHAnsi" w:cstheme="minorHAnsi"/>
          <w:i/>
          <w:iCs/>
          <w:szCs w:val="21"/>
        </w:rPr>
        <w:t xml:space="preserve">Journal of Vocational Education </w:t>
      </w:r>
      <w:r w:rsidR="00E011DE" w:rsidRPr="00C85109">
        <w:rPr>
          <w:rFonts w:asciiTheme="minorHAnsi" w:hAnsiTheme="minorHAnsi" w:cstheme="minorHAnsi"/>
          <w:i/>
          <w:iCs/>
          <w:szCs w:val="21"/>
        </w:rPr>
        <w:t>and</w:t>
      </w:r>
      <w:r w:rsidRPr="00C85109">
        <w:rPr>
          <w:rFonts w:asciiTheme="minorHAnsi" w:hAnsiTheme="minorHAnsi" w:cstheme="minorHAnsi"/>
          <w:i/>
          <w:iCs/>
          <w:szCs w:val="21"/>
        </w:rPr>
        <w:t xml:space="preserve"> Training</w:t>
      </w:r>
      <w:r w:rsidRPr="00C85109">
        <w:rPr>
          <w:rFonts w:asciiTheme="minorHAnsi" w:hAnsiTheme="minorHAnsi" w:cstheme="minorHAnsi"/>
          <w:szCs w:val="21"/>
        </w:rPr>
        <w:t xml:space="preserve">, </w:t>
      </w:r>
      <w:r w:rsidRPr="00C85109">
        <w:rPr>
          <w:rFonts w:asciiTheme="minorHAnsi" w:hAnsiTheme="minorHAnsi" w:cstheme="minorHAnsi"/>
          <w:i/>
          <w:iCs/>
          <w:szCs w:val="21"/>
        </w:rPr>
        <w:t>71</w:t>
      </w:r>
      <w:r w:rsidR="009169DD" w:rsidRPr="00C85109">
        <w:rPr>
          <w:rFonts w:asciiTheme="minorHAnsi" w:hAnsiTheme="minorHAnsi" w:cstheme="minorHAnsi"/>
          <w:szCs w:val="21"/>
        </w:rPr>
        <w:t>(</w:t>
      </w:r>
      <w:r w:rsidRPr="00C85109">
        <w:rPr>
          <w:rFonts w:asciiTheme="minorHAnsi" w:hAnsiTheme="minorHAnsi" w:cstheme="minorHAnsi"/>
          <w:szCs w:val="21"/>
        </w:rPr>
        <w:t>3</w:t>
      </w:r>
      <w:r w:rsidR="009169DD" w:rsidRPr="00C85109">
        <w:rPr>
          <w:rFonts w:asciiTheme="minorHAnsi" w:hAnsiTheme="minorHAnsi" w:cstheme="minorHAnsi"/>
          <w:szCs w:val="21"/>
        </w:rPr>
        <w:t>),</w:t>
      </w:r>
      <w:r w:rsidRPr="00C85109">
        <w:rPr>
          <w:rFonts w:asciiTheme="minorHAnsi" w:hAnsiTheme="minorHAnsi" w:cstheme="minorHAnsi"/>
          <w:szCs w:val="21"/>
        </w:rPr>
        <w:t xml:space="preserve"> 482-499.</w:t>
      </w:r>
      <w:r w:rsidR="007616AF" w:rsidRPr="00C85109">
        <w:rPr>
          <w:rFonts w:asciiTheme="minorHAnsi" w:hAnsiTheme="minorHAnsi" w:cstheme="minorHAnsi"/>
          <w:szCs w:val="21"/>
        </w:rPr>
        <w:t xml:space="preserve"> https://doi.org/10.1080/13636820.2018.1522364</w:t>
      </w:r>
    </w:p>
    <w:p w14:paraId="120139C5" w14:textId="4B45A469" w:rsidR="00E35816" w:rsidRPr="00C85109" w:rsidRDefault="00E35816" w:rsidP="00CE427B">
      <w:pPr>
        <w:spacing w:before="0" w:after="120" w:line="276" w:lineRule="auto"/>
        <w:ind w:left="851" w:hanging="491"/>
        <w:rPr>
          <w:rFonts w:asciiTheme="minorHAnsi" w:hAnsiTheme="minorHAnsi" w:cstheme="minorHAnsi"/>
          <w:szCs w:val="21"/>
        </w:rPr>
      </w:pPr>
      <w:bookmarkStart w:id="203" w:name="_Hlk41253165"/>
      <w:r w:rsidRPr="00C85109">
        <w:rPr>
          <w:rFonts w:asciiTheme="minorHAnsi" w:hAnsiTheme="minorHAnsi" w:cstheme="minorHAnsi"/>
          <w:szCs w:val="21"/>
        </w:rPr>
        <w:t>Reddington, T.</w:t>
      </w:r>
      <w:r w:rsidR="009169DD" w:rsidRPr="00C85109">
        <w:rPr>
          <w:rFonts w:asciiTheme="minorHAnsi" w:hAnsiTheme="minorHAnsi" w:cstheme="minorHAnsi"/>
          <w:szCs w:val="21"/>
        </w:rPr>
        <w:t>,</w:t>
      </w:r>
      <w:r w:rsidRPr="00C85109">
        <w:rPr>
          <w:rFonts w:asciiTheme="minorHAnsi" w:hAnsiTheme="minorHAnsi" w:cstheme="minorHAnsi"/>
          <w:szCs w:val="21"/>
        </w:rPr>
        <w:t xml:space="preserve"> &amp; Fitzsimons, J. (2013). People with learning disabilities and microenterprise</w:t>
      </w:r>
      <w:r w:rsidR="009169DD" w:rsidRPr="00C85109">
        <w:rPr>
          <w:rFonts w:asciiTheme="minorHAnsi" w:hAnsiTheme="minorHAnsi" w:cstheme="minorHAnsi"/>
          <w:szCs w:val="21"/>
        </w:rPr>
        <w:t>.</w:t>
      </w:r>
      <w:r w:rsidRPr="00C85109">
        <w:rPr>
          <w:rFonts w:asciiTheme="minorHAnsi" w:hAnsiTheme="minorHAnsi" w:cstheme="minorHAnsi"/>
          <w:i/>
          <w:iCs/>
          <w:szCs w:val="21"/>
        </w:rPr>
        <w:t xml:space="preserve"> Tizard Learning Disability Review</w:t>
      </w:r>
      <w:r w:rsidR="009169DD" w:rsidRPr="00C85109">
        <w:rPr>
          <w:rFonts w:asciiTheme="minorHAnsi" w:hAnsiTheme="minorHAnsi" w:cstheme="minorHAnsi"/>
          <w:i/>
          <w:iCs/>
          <w:szCs w:val="21"/>
        </w:rPr>
        <w:t>,</w:t>
      </w:r>
      <w:r w:rsidRPr="00C85109">
        <w:rPr>
          <w:rFonts w:asciiTheme="minorHAnsi" w:hAnsiTheme="minorHAnsi" w:cstheme="minorHAnsi"/>
          <w:szCs w:val="21"/>
        </w:rPr>
        <w:t xml:space="preserve"> </w:t>
      </w:r>
      <w:r w:rsidRPr="00C85109">
        <w:rPr>
          <w:rFonts w:asciiTheme="minorHAnsi" w:hAnsiTheme="minorHAnsi" w:cstheme="minorHAnsi"/>
          <w:i/>
          <w:iCs/>
          <w:szCs w:val="21"/>
        </w:rPr>
        <w:t>18</w:t>
      </w:r>
      <w:r w:rsidR="009169DD" w:rsidRPr="00C85109">
        <w:rPr>
          <w:rFonts w:asciiTheme="minorHAnsi" w:hAnsiTheme="minorHAnsi" w:cstheme="minorHAnsi"/>
          <w:szCs w:val="21"/>
        </w:rPr>
        <w:t>(</w:t>
      </w:r>
      <w:r w:rsidRPr="00C85109">
        <w:rPr>
          <w:rFonts w:asciiTheme="minorHAnsi" w:hAnsiTheme="minorHAnsi" w:cstheme="minorHAnsi"/>
          <w:szCs w:val="21"/>
        </w:rPr>
        <w:t>3</w:t>
      </w:r>
      <w:r w:rsidR="009169DD" w:rsidRPr="00C85109">
        <w:rPr>
          <w:rFonts w:asciiTheme="minorHAnsi" w:hAnsiTheme="minorHAnsi" w:cstheme="minorHAnsi"/>
          <w:szCs w:val="21"/>
        </w:rPr>
        <w:t>),</w:t>
      </w:r>
      <w:r w:rsidRPr="00C85109">
        <w:rPr>
          <w:rFonts w:asciiTheme="minorHAnsi" w:hAnsiTheme="minorHAnsi" w:cstheme="minorHAnsi"/>
          <w:szCs w:val="21"/>
        </w:rPr>
        <w:t xml:space="preserve"> 124-131</w:t>
      </w:r>
      <w:r w:rsidR="009169DD" w:rsidRPr="00C85109">
        <w:rPr>
          <w:rFonts w:asciiTheme="minorHAnsi" w:hAnsiTheme="minorHAnsi" w:cstheme="minorHAnsi"/>
          <w:szCs w:val="21"/>
        </w:rPr>
        <w:t>.</w:t>
      </w:r>
      <w:r w:rsidR="00070507" w:rsidRPr="00C85109">
        <w:rPr>
          <w:rFonts w:asciiTheme="minorHAnsi" w:hAnsiTheme="minorHAnsi" w:cstheme="minorHAnsi"/>
          <w:szCs w:val="21"/>
        </w:rPr>
        <w:t xml:space="preserve"> https://doi.org/10.1108/TLDR-02-2013-0013</w:t>
      </w:r>
    </w:p>
    <w:p w14:paraId="5411E9C5" w14:textId="3989069C" w:rsidR="00E35816" w:rsidRPr="00C85109" w:rsidRDefault="00E35816" w:rsidP="00CE427B">
      <w:pPr>
        <w:spacing w:before="0" w:after="120" w:line="276" w:lineRule="auto"/>
        <w:ind w:left="851" w:hanging="491"/>
        <w:rPr>
          <w:rFonts w:asciiTheme="minorHAnsi" w:hAnsiTheme="minorHAnsi" w:cstheme="minorHAnsi"/>
          <w:szCs w:val="21"/>
        </w:rPr>
      </w:pPr>
      <w:bookmarkStart w:id="204" w:name="_Hlk41253222"/>
      <w:bookmarkStart w:id="205" w:name="_Hlk41234298"/>
      <w:bookmarkStart w:id="206" w:name="_Hlk40609613"/>
      <w:bookmarkEnd w:id="203"/>
      <w:proofErr w:type="spellStart"/>
      <w:r w:rsidRPr="00C85109">
        <w:rPr>
          <w:rFonts w:asciiTheme="minorHAnsi" w:hAnsiTheme="minorHAnsi" w:cstheme="minorHAnsi"/>
          <w:szCs w:val="21"/>
        </w:rPr>
        <w:t>Redgrove</w:t>
      </w:r>
      <w:proofErr w:type="spellEnd"/>
      <w:r w:rsidRPr="00C85109">
        <w:rPr>
          <w:rFonts w:asciiTheme="minorHAnsi" w:hAnsiTheme="minorHAnsi" w:cstheme="minorHAnsi"/>
          <w:szCs w:val="21"/>
        </w:rPr>
        <w:t>, F.</w:t>
      </w:r>
      <w:r w:rsidR="00743DAE" w:rsidRPr="00C85109">
        <w:rPr>
          <w:rFonts w:asciiTheme="minorHAnsi" w:hAnsiTheme="minorHAnsi" w:cstheme="minorHAnsi"/>
          <w:szCs w:val="21"/>
        </w:rPr>
        <w:t xml:space="preserve"> J.</w:t>
      </w:r>
      <w:r w:rsidRPr="00C85109">
        <w:rPr>
          <w:rFonts w:asciiTheme="minorHAnsi" w:hAnsiTheme="minorHAnsi" w:cstheme="minorHAnsi"/>
          <w:szCs w:val="21"/>
        </w:rPr>
        <w:t xml:space="preserve">, Jewell, P., &amp; Ellison, C. (2016). Mind the </w:t>
      </w:r>
      <w:r w:rsidR="009169DD" w:rsidRPr="00C85109">
        <w:rPr>
          <w:rFonts w:asciiTheme="minorHAnsi" w:hAnsiTheme="minorHAnsi" w:cstheme="minorHAnsi"/>
          <w:szCs w:val="21"/>
        </w:rPr>
        <w:t>gap between school and adulthood for people with intellectual disabilities</w:t>
      </w:r>
      <w:r w:rsidRPr="00C85109">
        <w:rPr>
          <w:rFonts w:asciiTheme="minorHAnsi" w:hAnsiTheme="minorHAnsi" w:cstheme="minorHAnsi"/>
          <w:szCs w:val="21"/>
        </w:rPr>
        <w:t xml:space="preserve">. </w:t>
      </w:r>
      <w:r w:rsidRPr="00C85109">
        <w:rPr>
          <w:rFonts w:asciiTheme="minorHAnsi" w:hAnsiTheme="minorHAnsi" w:cstheme="minorHAnsi"/>
          <w:i/>
          <w:szCs w:val="21"/>
        </w:rPr>
        <w:t>Research and Practice in Intellectual and Developmental Disabilities, 3</w:t>
      </w:r>
      <w:r w:rsidRPr="00C85109">
        <w:rPr>
          <w:rFonts w:asciiTheme="minorHAnsi" w:hAnsiTheme="minorHAnsi" w:cstheme="minorHAnsi"/>
          <w:szCs w:val="21"/>
        </w:rPr>
        <w:t xml:space="preserve">(2), 182-190. </w:t>
      </w:r>
      <w:r w:rsidR="00E4000D" w:rsidRPr="00C85109">
        <w:rPr>
          <w:rFonts w:asciiTheme="minorHAnsi" w:hAnsiTheme="minorHAnsi" w:cstheme="minorHAnsi"/>
          <w:szCs w:val="21"/>
        </w:rPr>
        <w:t>https://doi.org/10.1080/23297018.2016.1188671</w:t>
      </w:r>
    </w:p>
    <w:bookmarkEnd w:id="204"/>
    <w:p w14:paraId="4E42150A" w14:textId="75F445AA" w:rsidR="00E35816" w:rsidRPr="00C85109" w:rsidRDefault="00E35816" w:rsidP="00CE427B">
      <w:pPr>
        <w:spacing w:before="0" w:after="120" w:line="276" w:lineRule="auto"/>
        <w:ind w:left="851" w:hanging="491"/>
        <w:rPr>
          <w:rFonts w:asciiTheme="minorHAnsi" w:hAnsiTheme="minorHAnsi" w:cstheme="minorHAnsi"/>
          <w:szCs w:val="21"/>
        </w:rPr>
      </w:pPr>
      <w:proofErr w:type="spellStart"/>
      <w:r w:rsidRPr="00C85109">
        <w:rPr>
          <w:rFonts w:asciiTheme="minorHAnsi" w:hAnsiTheme="minorHAnsi" w:cstheme="minorHAnsi"/>
          <w:szCs w:val="21"/>
        </w:rPr>
        <w:t>Riesen</w:t>
      </w:r>
      <w:proofErr w:type="spellEnd"/>
      <w:r w:rsidRPr="00C85109">
        <w:rPr>
          <w:rFonts w:asciiTheme="minorHAnsi" w:hAnsiTheme="minorHAnsi" w:cstheme="minorHAnsi"/>
          <w:szCs w:val="21"/>
        </w:rPr>
        <w:t xml:space="preserve">, T., Morgan, R. L., &amp; Griffin, C. (2015). </w:t>
      </w:r>
      <w:bookmarkStart w:id="207" w:name="_Hlk40609604"/>
      <w:r w:rsidRPr="00C85109">
        <w:rPr>
          <w:rFonts w:asciiTheme="minorHAnsi" w:hAnsiTheme="minorHAnsi" w:cstheme="minorHAnsi"/>
          <w:szCs w:val="21"/>
        </w:rPr>
        <w:t>Customized employment: A review of the literature</w:t>
      </w:r>
      <w:bookmarkEnd w:id="207"/>
      <w:r w:rsidR="002C6D25" w:rsidRPr="00C85109">
        <w:rPr>
          <w:rFonts w:asciiTheme="minorHAnsi" w:hAnsiTheme="minorHAnsi" w:cstheme="minorHAnsi"/>
          <w:szCs w:val="21"/>
        </w:rPr>
        <w:t>.</w:t>
      </w:r>
      <w:r w:rsidRPr="00C85109">
        <w:rPr>
          <w:rFonts w:asciiTheme="minorHAnsi" w:hAnsiTheme="minorHAnsi" w:cstheme="minorHAnsi"/>
          <w:szCs w:val="21"/>
        </w:rPr>
        <w:t xml:space="preserve"> </w:t>
      </w:r>
      <w:r w:rsidRPr="00C85109">
        <w:rPr>
          <w:rFonts w:asciiTheme="minorHAnsi" w:hAnsiTheme="minorHAnsi" w:cstheme="minorHAnsi"/>
          <w:i/>
          <w:iCs/>
          <w:szCs w:val="21"/>
        </w:rPr>
        <w:t>Journal of Vocational Rehabilitation, 43</w:t>
      </w:r>
      <w:r w:rsidRPr="00C85109">
        <w:rPr>
          <w:rFonts w:asciiTheme="minorHAnsi" w:hAnsiTheme="minorHAnsi" w:cstheme="minorHAnsi"/>
          <w:szCs w:val="21"/>
        </w:rPr>
        <w:t xml:space="preserve">(3), 183-193. </w:t>
      </w:r>
      <w:r w:rsidR="00EF1ECE" w:rsidRPr="00C85109">
        <w:rPr>
          <w:rFonts w:asciiTheme="minorHAnsi" w:hAnsiTheme="minorHAnsi" w:cstheme="minorHAnsi"/>
          <w:szCs w:val="21"/>
        </w:rPr>
        <w:t>https://doi.org/10.3233/JVR-150768</w:t>
      </w:r>
    </w:p>
    <w:p w14:paraId="582DFEBE" w14:textId="052562D1" w:rsidR="00E35816" w:rsidRPr="00C85109" w:rsidRDefault="00E35816" w:rsidP="00CE427B">
      <w:pPr>
        <w:spacing w:before="0" w:after="120" w:line="276" w:lineRule="auto"/>
        <w:ind w:left="851" w:hanging="491"/>
        <w:rPr>
          <w:rFonts w:asciiTheme="minorHAnsi" w:hAnsiTheme="minorHAnsi" w:cstheme="minorHAnsi"/>
          <w:szCs w:val="21"/>
        </w:rPr>
      </w:pPr>
      <w:bookmarkStart w:id="208" w:name="_Hlk41140340"/>
      <w:bookmarkEnd w:id="205"/>
      <w:proofErr w:type="spellStart"/>
      <w:r w:rsidRPr="00C85109">
        <w:rPr>
          <w:rFonts w:asciiTheme="minorHAnsi" w:hAnsiTheme="minorHAnsi" w:cstheme="minorHAnsi"/>
          <w:szCs w:val="21"/>
        </w:rPr>
        <w:t>Rillotta</w:t>
      </w:r>
      <w:proofErr w:type="spellEnd"/>
      <w:r w:rsidRPr="00C85109">
        <w:rPr>
          <w:rFonts w:asciiTheme="minorHAnsi" w:hAnsiTheme="minorHAnsi" w:cstheme="minorHAnsi"/>
          <w:szCs w:val="21"/>
        </w:rPr>
        <w:t>, F.</w:t>
      </w:r>
      <w:r w:rsidR="002C6D25" w:rsidRPr="00C85109">
        <w:rPr>
          <w:rFonts w:asciiTheme="minorHAnsi" w:hAnsiTheme="minorHAnsi" w:cstheme="minorHAnsi"/>
          <w:szCs w:val="21"/>
        </w:rPr>
        <w:t>,</w:t>
      </w:r>
      <w:r w:rsidRPr="00C85109">
        <w:rPr>
          <w:rFonts w:asciiTheme="minorHAnsi" w:hAnsiTheme="minorHAnsi" w:cstheme="minorHAnsi"/>
          <w:szCs w:val="21"/>
        </w:rPr>
        <w:t xml:space="preserve"> Arthur, J.</w:t>
      </w:r>
      <w:r w:rsidR="002C6D25" w:rsidRPr="00C85109">
        <w:rPr>
          <w:rFonts w:asciiTheme="minorHAnsi" w:hAnsiTheme="minorHAnsi" w:cstheme="minorHAnsi"/>
          <w:szCs w:val="21"/>
        </w:rPr>
        <w:t>,</w:t>
      </w:r>
      <w:r w:rsidRPr="00C85109">
        <w:rPr>
          <w:rFonts w:asciiTheme="minorHAnsi" w:hAnsiTheme="minorHAnsi" w:cstheme="minorHAnsi"/>
          <w:szCs w:val="21"/>
        </w:rPr>
        <w:t xml:space="preserve"> Hutchinson, C</w:t>
      </w:r>
      <w:r w:rsidR="002C6D25" w:rsidRPr="00C85109">
        <w:rPr>
          <w:rFonts w:asciiTheme="minorHAnsi" w:hAnsiTheme="minorHAnsi" w:cstheme="minorHAnsi"/>
          <w:szCs w:val="21"/>
        </w:rPr>
        <w:t>.,</w:t>
      </w:r>
      <w:r w:rsidRPr="00C85109">
        <w:rPr>
          <w:rFonts w:asciiTheme="minorHAnsi" w:hAnsiTheme="minorHAnsi" w:cstheme="minorHAnsi"/>
          <w:szCs w:val="21"/>
        </w:rPr>
        <w:t xml:space="preserve"> &amp; Raghavendra, P. (2020). Inclusive university experience in Australia: Perspectives of students with intellectual disability and their mentors</w:t>
      </w:r>
      <w:r w:rsidR="002C6D25" w:rsidRPr="00C85109">
        <w:rPr>
          <w:rFonts w:asciiTheme="minorHAnsi" w:hAnsiTheme="minorHAnsi" w:cstheme="minorHAnsi"/>
          <w:szCs w:val="21"/>
        </w:rPr>
        <w:t>.</w:t>
      </w:r>
      <w:r w:rsidRPr="00C85109">
        <w:rPr>
          <w:rFonts w:asciiTheme="minorHAnsi" w:hAnsiTheme="minorHAnsi" w:cstheme="minorHAnsi"/>
          <w:szCs w:val="21"/>
        </w:rPr>
        <w:t xml:space="preserve"> </w:t>
      </w:r>
      <w:r w:rsidRPr="00C85109">
        <w:rPr>
          <w:rFonts w:asciiTheme="minorHAnsi" w:hAnsiTheme="minorHAnsi" w:cstheme="minorHAnsi"/>
          <w:i/>
          <w:iCs/>
          <w:szCs w:val="21"/>
        </w:rPr>
        <w:t>Journal of Intellectual Disabilities</w:t>
      </w:r>
      <w:r w:rsidRPr="00C85109">
        <w:rPr>
          <w:rFonts w:asciiTheme="minorHAnsi" w:hAnsiTheme="minorHAnsi" w:cstheme="minorHAnsi"/>
          <w:szCs w:val="21"/>
        </w:rPr>
        <w:t>,</w:t>
      </w:r>
      <w:r w:rsidR="002C6D25" w:rsidRPr="00C85109">
        <w:rPr>
          <w:rFonts w:asciiTheme="minorHAnsi" w:hAnsiTheme="minorHAnsi" w:cstheme="minorHAnsi"/>
          <w:szCs w:val="21"/>
        </w:rPr>
        <w:t xml:space="preserve"> </w:t>
      </w:r>
      <w:r w:rsidRPr="00C85109">
        <w:rPr>
          <w:rFonts w:asciiTheme="minorHAnsi" w:hAnsiTheme="minorHAnsi" w:cstheme="minorHAnsi"/>
          <w:i/>
          <w:iCs/>
          <w:szCs w:val="21"/>
        </w:rPr>
        <w:t>24</w:t>
      </w:r>
      <w:r w:rsidRPr="00C85109">
        <w:rPr>
          <w:rFonts w:asciiTheme="minorHAnsi" w:hAnsiTheme="minorHAnsi" w:cstheme="minorHAnsi"/>
          <w:szCs w:val="21"/>
        </w:rPr>
        <w:t>(1), 102-117</w:t>
      </w:r>
      <w:r w:rsidR="002C6D25" w:rsidRPr="00C85109">
        <w:rPr>
          <w:rFonts w:asciiTheme="minorHAnsi" w:hAnsiTheme="minorHAnsi" w:cstheme="minorHAnsi"/>
          <w:szCs w:val="21"/>
        </w:rPr>
        <w:t>.</w:t>
      </w:r>
      <w:r w:rsidR="0087003C" w:rsidRPr="00C85109">
        <w:rPr>
          <w:rFonts w:asciiTheme="minorHAnsi" w:hAnsiTheme="minorHAnsi" w:cstheme="minorHAnsi"/>
          <w:szCs w:val="21"/>
        </w:rPr>
        <w:t xml:space="preserve"> https://doi.org/10.1177/1744629518769421</w:t>
      </w:r>
    </w:p>
    <w:p w14:paraId="4ECE1EA5" w14:textId="65725065" w:rsidR="00E35816" w:rsidRPr="00C85109" w:rsidRDefault="00E35816" w:rsidP="00CE427B">
      <w:pPr>
        <w:spacing w:before="0" w:after="120" w:line="276" w:lineRule="auto"/>
        <w:ind w:left="851" w:hanging="491"/>
        <w:rPr>
          <w:rFonts w:asciiTheme="minorHAnsi" w:hAnsiTheme="minorHAnsi" w:cstheme="minorHAnsi"/>
          <w:szCs w:val="21"/>
        </w:rPr>
      </w:pPr>
      <w:r w:rsidRPr="00C85109">
        <w:rPr>
          <w:rFonts w:asciiTheme="minorHAnsi" w:hAnsiTheme="minorHAnsi" w:cstheme="minorHAnsi"/>
          <w:szCs w:val="21"/>
        </w:rPr>
        <w:t>Ryan, J. B., Randall,</w:t>
      </w:r>
      <w:r w:rsidR="009677D3" w:rsidRPr="00C85109">
        <w:rPr>
          <w:rFonts w:asciiTheme="minorHAnsi" w:hAnsiTheme="minorHAnsi" w:cstheme="minorHAnsi"/>
          <w:szCs w:val="21"/>
        </w:rPr>
        <w:t xml:space="preserve"> </w:t>
      </w:r>
      <w:r w:rsidRPr="00C85109">
        <w:rPr>
          <w:rFonts w:asciiTheme="minorHAnsi" w:hAnsiTheme="minorHAnsi" w:cstheme="minorHAnsi"/>
          <w:szCs w:val="21"/>
        </w:rPr>
        <w:t>K. N., Walters, E.</w:t>
      </w:r>
      <w:r w:rsidR="009677D3" w:rsidRPr="00C85109">
        <w:rPr>
          <w:rFonts w:asciiTheme="minorHAnsi" w:hAnsiTheme="minorHAnsi" w:cstheme="minorHAnsi"/>
          <w:szCs w:val="21"/>
        </w:rPr>
        <w:t>,</w:t>
      </w:r>
      <w:r w:rsidRPr="00C85109">
        <w:rPr>
          <w:rFonts w:asciiTheme="minorHAnsi" w:hAnsiTheme="minorHAnsi" w:cstheme="minorHAnsi"/>
          <w:szCs w:val="21"/>
        </w:rPr>
        <w:t xml:space="preserve"> </w:t>
      </w:r>
      <w:r w:rsidR="009677D3" w:rsidRPr="00C85109">
        <w:rPr>
          <w:rFonts w:asciiTheme="minorHAnsi" w:hAnsiTheme="minorHAnsi" w:cstheme="minorHAnsi"/>
          <w:szCs w:val="21"/>
        </w:rPr>
        <w:t>&amp;</w:t>
      </w:r>
      <w:r w:rsidRPr="00C85109">
        <w:rPr>
          <w:rFonts w:asciiTheme="minorHAnsi" w:hAnsiTheme="minorHAnsi" w:cstheme="minorHAnsi"/>
          <w:szCs w:val="21"/>
        </w:rPr>
        <w:t xml:space="preserve"> </w:t>
      </w:r>
      <w:proofErr w:type="spellStart"/>
      <w:r w:rsidRPr="00C85109">
        <w:rPr>
          <w:rFonts w:asciiTheme="minorHAnsi" w:hAnsiTheme="minorHAnsi" w:cstheme="minorHAnsi"/>
          <w:szCs w:val="21"/>
        </w:rPr>
        <w:t>Morash</w:t>
      </w:r>
      <w:proofErr w:type="spellEnd"/>
      <w:r w:rsidRPr="00C85109">
        <w:rPr>
          <w:rFonts w:asciiTheme="minorHAnsi" w:hAnsiTheme="minorHAnsi" w:cstheme="minorHAnsi"/>
          <w:szCs w:val="21"/>
        </w:rPr>
        <w:t>-MacNeil, V. (2019). Employment and independent living outcomes of a mixed model post-secondary education program for young adults with intellectual disabilities</w:t>
      </w:r>
      <w:r w:rsidR="008579A8" w:rsidRPr="00C85109">
        <w:rPr>
          <w:rFonts w:asciiTheme="minorHAnsi" w:hAnsiTheme="minorHAnsi" w:cstheme="minorHAnsi"/>
          <w:szCs w:val="21"/>
        </w:rPr>
        <w:t>.</w:t>
      </w:r>
      <w:r w:rsidRPr="00C85109">
        <w:rPr>
          <w:rFonts w:asciiTheme="minorHAnsi" w:hAnsiTheme="minorHAnsi" w:cstheme="minorHAnsi"/>
          <w:szCs w:val="21"/>
        </w:rPr>
        <w:t xml:space="preserve"> </w:t>
      </w:r>
      <w:r w:rsidRPr="00C85109">
        <w:rPr>
          <w:rFonts w:asciiTheme="minorHAnsi" w:hAnsiTheme="minorHAnsi" w:cstheme="minorHAnsi"/>
          <w:i/>
          <w:iCs/>
          <w:szCs w:val="21"/>
        </w:rPr>
        <w:t>Journal of Vocational Rehabilitation</w:t>
      </w:r>
      <w:r w:rsidR="008579A8" w:rsidRPr="00C85109">
        <w:rPr>
          <w:rFonts w:asciiTheme="minorHAnsi" w:hAnsiTheme="minorHAnsi" w:cstheme="minorHAnsi"/>
          <w:i/>
          <w:iCs/>
          <w:szCs w:val="21"/>
        </w:rPr>
        <w:t>,</w:t>
      </w:r>
      <w:r w:rsidRPr="00C85109">
        <w:rPr>
          <w:rFonts w:asciiTheme="minorHAnsi" w:hAnsiTheme="minorHAnsi" w:cstheme="minorHAnsi"/>
          <w:szCs w:val="21"/>
        </w:rPr>
        <w:t xml:space="preserve"> </w:t>
      </w:r>
      <w:r w:rsidRPr="00C85109">
        <w:rPr>
          <w:rFonts w:asciiTheme="minorHAnsi" w:hAnsiTheme="minorHAnsi" w:cstheme="minorHAnsi"/>
          <w:i/>
          <w:iCs/>
          <w:szCs w:val="21"/>
        </w:rPr>
        <w:t>50</w:t>
      </w:r>
      <w:r w:rsidR="0000230F" w:rsidRPr="00C85109">
        <w:rPr>
          <w:rFonts w:asciiTheme="minorHAnsi" w:hAnsiTheme="minorHAnsi" w:cstheme="minorHAnsi"/>
          <w:szCs w:val="21"/>
        </w:rPr>
        <w:t>(1)</w:t>
      </w:r>
      <w:r w:rsidR="008579A8" w:rsidRPr="00C85109">
        <w:rPr>
          <w:rFonts w:asciiTheme="minorHAnsi" w:hAnsiTheme="minorHAnsi" w:cstheme="minorHAnsi"/>
          <w:szCs w:val="21"/>
        </w:rPr>
        <w:t>,</w:t>
      </w:r>
      <w:r w:rsidRPr="00C85109">
        <w:rPr>
          <w:rFonts w:asciiTheme="minorHAnsi" w:hAnsiTheme="minorHAnsi" w:cstheme="minorHAnsi"/>
          <w:szCs w:val="21"/>
        </w:rPr>
        <w:t xml:space="preserve"> 61</w:t>
      </w:r>
      <w:r w:rsidR="008579A8" w:rsidRPr="00C85109">
        <w:rPr>
          <w:rFonts w:asciiTheme="minorHAnsi" w:hAnsiTheme="minorHAnsi" w:cstheme="minorHAnsi"/>
          <w:szCs w:val="21"/>
        </w:rPr>
        <w:t>-</w:t>
      </w:r>
      <w:r w:rsidRPr="00C85109">
        <w:rPr>
          <w:rFonts w:asciiTheme="minorHAnsi" w:hAnsiTheme="minorHAnsi" w:cstheme="minorHAnsi"/>
          <w:szCs w:val="21"/>
        </w:rPr>
        <w:t>72.</w:t>
      </w:r>
      <w:r w:rsidR="00393510" w:rsidRPr="00C85109">
        <w:rPr>
          <w:rFonts w:asciiTheme="minorHAnsi" w:hAnsiTheme="minorHAnsi" w:cstheme="minorHAnsi"/>
          <w:szCs w:val="21"/>
        </w:rPr>
        <w:t xml:space="preserve"> https://doi.org/10.3233/JVR-180988</w:t>
      </w:r>
    </w:p>
    <w:p w14:paraId="19AB65FB" w14:textId="25060425" w:rsidR="00AB6BF4" w:rsidRPr="00C85109" w:rsidRDefault="00AB6BF4" w:rsidP="00AB6BF4">
      <w:pPr>
        <w:snapToGrid w:val="0"/>
        <w:spacing w:before="0" w:after="120" w:line="276" w:lineRule="auto"/>
        <w:ind w:left="851" w:hanging="491"/>
        <w:rPr>
          <w:rFonts w:asciiTheme="minorHAnsi" w:hAnsiTheme="minorHAnsi" w:cstheme="minorHAnsi"/>
          <w:szCs w:val="21"/>
        </w:rPr>
      </w:pPr>
      <w:bookmarkStart w:id="209" w:name="_Hlk42691900"/>
      <w:bookmarkEnd w:id="206"/>
      <w:bookmarkEnd w:id="208"/>
      <w:proofErr w:type="spellStart"/>
      <w:r w:rsidRPr="00C85109">
        <w:rPr>
          <w:rFonts w:asciiTheme="minorHAnsi" w:hAnsiTheme="minorHAnsi" w:cstheme="minorHAnsi"/>
          <w:szCs w:val="21"/>
        </w:rPr>
        <w:t>Scheef</w:t>
      </w:r>
      <w:proofErr w:type="spellEnd"/>
      <w:r w:rsidRPr="00C85109">
        <w:rPr>
          <w:rFonts w:asciiTheme="minorHAnsi" w:hAnsiTheme="minorHAnsi" w:cstheme="minorHAnsi"/>
          <w:szCs w:val="21"/>
        </w:rPr>
        <w:t xml:space="preserve">, A. R. (2019). What and who works: Strategies for facilitating work experience opportunities for students enrolled in postsecondary education programs. </w:t>
      </w:r>
      <w:r w:rsidRPr="00C85109">
        <w:rPr>
          <w:rFonts w:asciiTheme="minorHAnsi" w:hAnsiTheme="minorHAnsi" w:cstheme="minorHAnsi"/>
          <w:i/>
          <w:iCs/>
          <w:szCs w:val="21"/>
        </w:rPr>
        <w:t>Journal of Policy and Practice in Intellectual Disabilities, 16</w:t>
      </w:r>
      <w:r w:rsidRPr="00C85109">
        <w:rPr>
          <w:rFonts w:asciiTheme="minorHAnsi" w:hAnsiTheme="minorHAnsi" w:cstheme="minorHAnsi"/>
          <w:szCs w:val="21"/>
        </w:rPr>
        <w:t>(3), 223-231.</w:t>
      </w:r>
      <w:r w:rsidR="00871F0F" w:rsidRPr="00C85109">
        <w:rPr>
          <w:rFonts w:asciiTheme="minorHAnsi" w:hAnsiTheme="minorHAnsi" w:cstheme="minorHAnsi"/>
          <w:szCs w:val="21"/>
        </w:rPr>
        <w:t xml:space="preserve"> https://doi.org/10.1111/jppi.12285</w:t>
      </w:r>
    </w:p>
    <w:bookmarkEnd w:id="209"/>
    <w:p w14:paraId="547A83AC" w14:textId="2B386102" w:rsidR="00E35816" w:rsidRPr="00C85109" w:rsidRDefault="00E35816" w:rsidP="00CE427B">
      <w:pPr>
        <w:snapToGrid w:val="0"/>
        <w:spacing w:before="0" w:after="120" w:line="276" w:lineRule="auto"/>
        <w:ind w:left="851" w:hanging="491"/>
        <w:rPr>
          <w:rFonts w:asciiTheme="minorHAnsi" w:hAnsiTheme="minorHAnsi" w:cstheme="minorHAnsi"/>
          <w:szCs w:val="21"/>
        </w:rPr>
      </w:pPr>
      <w:proofErr w:type="spellStart"/>
      <w:r w:rsidRPr="00C85109">
        <w:rPr>
          <w:rFonts w:asciiTheme="minorHAnsi" w:hAnsiTheme="minorHAnsi" w:cstheme="minorHAnsi"/>
          <w:szCs w:val="21"/>
        </w:rPr>
        <w:t>Scheef</w:t>
      </w:r>
      <w:proofErr w:type="spellEnd"/>
      <w:r w:rsidRPr="00C85109">
        <w:rPr>
          <w:rFonts w:asciiTheme="minorHAnsi" w:hAnsiTheme="minorHAnsi" w:cstheme="minorHAnsi"/>
          <w:szCs w:val="21"/>
        </w:rPr>
        <w:t xml:space="preserve">, A. R., Barrio, B. L., </w:t>
      </w:r>
      <w:proofErr w:type="spellStart"/>
      <w:r w:rsidRPr="00C85109">
        <w:rPr>
          <w:rFonts w:asciiTheme="minorHAnsi" w:hAnsiTheme="minorHAnsi" w:cstheme="minorHAnsi"/>
          <w:szCs w:val="21"/>
        </w:rPr>
        <w:t>Poppen</w:t>
      </w:r>
      <w:proofErr w:type="spellEnd"/>
      <w:r w:rsidRPr="00C85109">
        <w:rPr>
          <w:rFonts w:asciiTheme="minorHAnsi" w:hAnsiTheme="minorHAnsi" w:cstheme="minorHAnsi"/>
          <w:szCs w:val="21"/>
        </w:rPr>
        <w:t xml:space="preserve">, M. I., McMahon, D., &amp; Miller, D. (2018). Exploring </w:t>
      </w:r>
      <w:r w:rsidR="008579A8" w:rsidRPr="00C85109">
        <w:rPr>
          <w:rFonts w:asciiTheme="minorHAnsi" w:hAnsiTheme="minorHAnsi" w:cstheme="minorHAnsi"/>
          <w:szCs w:val="21"/>
        </w:rPr>
        <w:t>barriers for facilitating work experience opportunities for students with intellectual disabilities enrolled in postsecondary education programs</w:t>
      </w:r>
      <w:r w:rsidRPr="00C85109">
        <w:rPr>
          <w:rFonts w:asciiTheme="minorHAnsi" w:hAnsiTheme="minorHAnsi" w:cstheme="minorHAnsi"/>
          <w:szCs w:val="21"/>
        </w:rPr>
        <w:t xml:space="preserve">. </w:t>
      </w:r>
      <w:r w:rsidRPr="00C85109">
        <w:rPr>
          <w:rFonts w:asciiTheme="minorHAnsi" w:hAnsiTheme="minorHAnsi" w:cstheme="minorHAnsi"/>
          <w:i/>
          <w:iCs/>
          <w:szCs w:val="21"/>
        </w:rPr>
        <w:t xml:space="preserve">Journal of Postsecondary Education </w:t>
      </w:r>
      <w:r w:rsidR="0011360C" w:rsidRPr="00C85109">
        <w:rPr>
          <w:rFonts w:asciiTheme="minorHAnsi" w:hAnsiTheme="minorHAnsi" w:cstheme="minorHAnsi"/>
          <w:i/>
          <w:iCs/>
          <w:szCs w:val="21"/>
        </w:rPr>
        <w:t>and</w:t>
      </w:r>
      <w:r w:rsidRPr="00C85109">
        <w:rPr>
          <w:rFonts w:asciiTheme="minorHAnsi" w:hAnsiTheme="minorHAnsi" w:cstheme="minorHAnsi"/>
          <w:i/>
          <w:iCs/>
          <w:szCs w:val="21"/>
        </w:rPr>
        <w:t xml:space="preserve"> Disability, 31</w:t>
      </w:r>
      <w:r w:rsidRPr="00C85109">
        <w:rPr>
          <w:rFonts w:asciiTheme="minorHAnsi" w:hAnsiTheme="minorHAnsi" w:cstheme="minorHAnsi"/>
          <w:szCs w:val="21"/>
        </w:rPr>
        <w:t>(3), 209</w:t>
      </w:r>
      <w:r w:rsidR="0011360C" w:rsidRPr="00C85109">
        <w:rPr>
          <w:rFonts w:asciiTheme="minorHAnsi" w:hAnsiTheme="minorHAnsi" w:cstheme="minorHAnsi"/>
          <w:szCs w:val="21"/>
        </w:rPr>
        <w:t>-224.</w:t>
      </w:r>
      <w:r w:rsidRPr="00C85109">
        <w:rPr>
          <w:rFonts w:asciiTheme="minorHAnsi" w:hAnsiTheme="minorHAnsi" w:cstheme="minorHAnsi"/>
          <w:szCs w:val="21"/>
        </w:rPr>
        <w:t xml:space="preserve"> </w:t>
      </w:r>
    </w:p>
    <w:p w14:paraId="366D6C79" w14:textId="70B9B2AA" w:rsidR="00E35816" w:rsidRPr="00C85109" w:rsidRDefault="00E35816" w:rsidP="00CE427B">
      <w:pPr>
        <w:shd w:val="clear" w:color="auto" w:fill="FFFFFF"/>
        <w:spacing w:before="0" w:after="120" w:line="276" w:lineRule="auto"/>
        <w:ind w:left="851" w:hanging="491"/>
        <w:rPr>
          <w:rFonts w:asciiTheme="minorHAnsi" w:hAnsiTheme="minorHAnsi" w:cstheme="minorHAnsi"/>
          <w:szCs w:val="21"/>
          <w:lang w:val="en" w:eastAsia="en-AU"/>
        </w:rPr>
      </w:pPr>
      <w:r w:rsidRPr="00C85109">
        <w:rPr>
          <w:rFonts w:asciiTheme="minorHAnsi" w:hAnsiTheme="minorHAnsi" w:cstheme="minorHAnsi"/>
          <w:szCs w:val="21"/>
          <w:lang w:val="en" w:eastAsia="en-AU"/>
        </w:rPr>
        <w:t>Senate Standing Committee on Education and Employment</w:t>
      </w:r>
      <w:r w:rsidR="00E57795" w:rsidRPr="00C85109">
        <w:rPr>
          <w:rFonts w:asciiTheme="minorHAnsi" w:hAnsiTheme="minorHAnsi" w:cstheme="minorHAnsi"/>
          <w:szCs w:val="21"/>
          <w:lang w:val="en" w:eastAsia="en-AU"/>
        </w:rPr>
        <w:t xml:space="preserve">. </w:t>
      </w:r>
      <w:r w:rsidRPr="00C85109">
        <w:rPr>
          <w:rFonts w:asciiTheme="minorHAnsi" w:hAnsiTheme="minorHAnsi" w:cstheme="minorHAnsi"/>
          <w:szCs w:val="21"/>
          <w:lang w:val="en" w:eastAsia="en-AU"/>
        </w:rPr>
        <w:t>(2016)</w:t>
      </w:r>
      <w:r w:rsidR="00E57795" w:rsidRPr="00C85109">
        <w:rPr>
          <w:rFonts w:asciiTheme="minorHAnsi" w:hAnsiTheme="minorHAnsi" w:cstheme="minorHAnsi"/>
          <w:szCs w:val="21"/>
          <w:lang w:val="en" w:eastAsia="en-AU"/>
        </w:rPr>
        <w:t>.</w:t>
      </w:r>
      <w:r w:rsidRPr="00C85109">
        <w:rPr>
          <w:rFonts w:asciiTheme="minorHAnsi" w:hAnsiTheme="minorHAnsi" w:cstheme="minorHAnsi"/>
          <w:szCs w:val="21"/>
          <w:lang w:val="en" w:eastAsia="en-AU"/>
        </w:rPr>
        <w:t xml:space="preserve"> </w:t>
      </w:r>
      <w:r w:rsidRPr="00C85109">
        <w:rPr>
          <w:rFonts w:asciiTheme="minorHAnsi" w:hAnsiTheme="minorHAnsi" w:cstheme="minorHAnsi"/>
          <w:i/>
          <w:szCs w:val="21"/>
          <w:lang w:val="en" w:eastAsia="en-AU"/>
        </w:rPr>
        <w:t xml:space="preserve">Access to real learning: </w:t>
      </w:r>
      <w:r w:rsidR="00206DB9" w:rsidRPr="00C85109">
        <w:rPr>
          <w:rFonts w:asciiTheme="minorHAnsi" w:hAnsiTheme="minorHAnsi" w:cstheme="minorHAnsi"/>
          <w:i/>
          <w:szCs w:val="21"/>
          <w:lang w:val="en" w:eastAsia="en-AU"/>
        </w:rPr>
        <w:t>T</w:t>
      </w:r>
      <w:r w:rsidRPr="00C85109">
        <w:rPr>
          <w:rFonts w:asciiTheme="minorHAnsi" w:hAnsiTheme="minorHAnsi" w:cstheme="minorHAnsi"/>
          <w:i/>
          <w:szCs w:val="21"/>
          <w:lang w:val="en" w:eastAsia="en-AU"/>
        </w:rPr>
        <w:t>he impact of policy, funding and culture on students with disability</w:t>
      </w:r>
      <w:r w:rsidR="00206DB9" w:rsidRPr="00C85109">
        <w:rPr>
          <w:rFonts w:asciiTheme="minorHAnsi" w:hAnsiTheme="minorHAnsi" w:cstheme="minorHAnsi"/>
          <w:i/>
          <w:szCs w:val="21"/>
          <w:lang w:val="en" w:eastAsia="en-AU"/>
        </w:rPr>
        <w:t>.</w:t>
      </w:r>
      <w:r w:rsidRPr="00C85109">
        <w:rPr>
          <w:rFonts w:asciiTheme="minorHAnsi" w:hAnsiTheme="minorHAnsi" w:cstheme="minorHAnsi"/>
          <w:szCs w:val="21"/>
          <w:lang w:val="en" w:eastAsia="en-AU"/>
        </w:rPr>
        <w:t xml:space="preserve"> </w:t>
      </w:r>
      <w:r w:rsidR="00B6516F" w:rsidRPr="00C85109">
        <w:rPr>
          <w:rFonts w:asciiTheme="minorHAnsi" w:hAnsiTheme="minorHAnsi" w:cstheme="minorHAnsi"/>
          <w:szCs w:val="21"/>
          <w:lang w:val="en" w:eastAsia="en-AU"/>
        </w:rPr>
        <w:t>https://www.aph.gov.au/Parliamentary_Business/Committees/Senate/Education_and_Employment/students_with_disability/~/media/Committees/eet_ctte/students_with_disability/report.pdf</w:t>
      </w:r>
    </w:p>
    <w:p w14:paraId="1EE73759" w14:textId="1B29CAF5" w:rsidR="00E35816" w:rsidRPr="00C85109" w:rsidRDefault="00E35816" w:rsidP="00CE427B">
      <w:pPr>
        <w:pStyle w:val="EndNoteBibliography"/>
        <w:spacing w:after="120" w:line="276" w:lineRule="auto"/>
        <w:ind w:left="851" w:hanging="491"/>
        <w:rPr>
          <w:rStyle w:val="Hyperlink"/>
          <w:rFonts w:asciiTheme="minorHAnsi" w:eastAsiaTheme="minorHAnsi" w:hAnsiTheme="minorHAnsi" w:cstheme="minorHAnsi"/>
          <w:noProof w:val="0"/>
          <w:color w:val="auto"/>
          <w:sz w:val="21"/>
          <w:szCs w:val="21"/>
          <w:u w:val="none"/>
          <w:lang w:eastAsia="en-US"/>
        </w:rPr>
      </w:pPr>
      <w:bookmarkStart w:id="210" w:name="_Hlk42443159"/>
      <w:r w:rsidRPr="00C85109">
        <w:rPr>
          <w:rFonts w:asciiTheme="minorHAnsi" w:hAnsiTheme="minorHAnsi" w:cstheme="minorHAnsi"/>
          <w:sz w:val="21"/>
          <w:szCs w:val="21"/>
        </w:rPr>
        <w:t xml:space="preserve">Sheppard, L., Harrington, R., &amp; Howard, K. (2017). </w:t>
      </w:r>
      <w:r w:rsidRPr="00C85109">
        <w:rPr>
          <w:rFonts w:asciiTheme="minorHAnsi" w:hAnsiTheme="minorHAnsi" w:cstheme="minorHAnsi"/>
          <w:i/>
          <w:iCs/>
          <w:sz w:val="21"/>
          <w:szCs w:val="21"/>
        </w:rPr>
        <w:t>Leaving School and Getting a Job. Research to Action Guide, A guide for young people with disability who want to work</w:t>
      </w:r>
      <w:r w:rsidRPr="00C85109">
        <w:rPr>
          <w:rFonts w:asciiTheme="minorHAnsi" w:hAnsiTheme="minorHAnsi" w:cstheme="minorHAnsi"/>
          <w:sz w:val="21"/>
          <w:szCs w:val="21"/>
        </w:rPr>
        <w:t xml:space="preserve">. </w:t>
      </w:r>
      <w:r w:rsidR="00F42EB0" w:rsidRPr="00C85109">
        <w:rPr>
          <w:rFonts w:asciiTheme="minorHAnsi" w:hAnsiTheme="minorHAnsi" w:cstheme="minorHAnsi"/>
          <w:sz w:val="21"/>
          <w:szCs w:val="21"/>
        </w:rPr>
        <w:t xml:space="preserve">Centre for Applied Disability Research. </w:t>
      </w:r>
      <w:r w:rsidR="00454372" w:rsidRPr="00C85109">
        <w:rPr>
          <w:rFonts w:asciiTheme="minorHAnsi" w:hAnsiTheme="minorHAnsi" w:cstheme="minorHAnsi"/>
          <w:sz w:val="21"/>
          <w:szCs w:val="21"/>
        </w:rPr>
        <w:t>https://www.cadr.org.au/images/1811/schooltransitionemployment-fullguide.pdf</w:t>
      </w:r>
    </w:p>
    <w:p w14:paraId="27431F8F" w14:textId="6BC4478F" w:rsidR="00E35816" w:rsidRPr="00C85109" w:rsidRDefault="00E35816" w:rsidP="00CE427B">
      <w:pPr>
        <w:pStyle w:val="EndNoteBibliography"/>
        <w:spacing w:after="120" w:line="276" w:lineRule="auto"/>
        <w:ind w:left="851" w:hanging="491"/>
        <w:rPr>
          <w:rFonts w:asciiTheme="minorHAnsi" w:hAnsiTheme="minorHAnsi" w:cstheme="minorHAnsi"/>
          <w:sz w:val="21"/>
          <w:szCs w:val="21"/>
        </w:rPr>
      </w:pPr>
      <w:r w:rsidRPr="00C85109">
        <w:rPr>
          <w:rFonts w:asciiTheme="minorHAnsi" w:hAnsiTheme="minorHAnsi" w:cstheme="minorHAnsi"/>
          <w:sz w:val="21"/>
          <w:szCs w:val="21"/>
        </w:rPr>
        <w:t>Simonsen, M. L.</w:t>
      </w:r>
      <w:r w:rsidR="00AB6BF4" w:rsidRPr="00C85109">
        <w:rPr>
          <w:rFonts w:asciiTheme="minorHAnsi" w:hAnsiTheme="minorHAnsi" w:cstheme="minorHAnsi"/>
          <w:sz w:val="21"/>
          <w:szCs w:val="21"/>
        </w:rPr>
        <w:t>,</w:t>
      </w:r>
      <w:r w:rsidRPr="00C85109">
        <w:rPr>
          <w:rFonts w:asciiTheme="minorHAnsi" w:hAnsiTheme="minorHAnsi" w:cstheme="minorHAnsi"/>
          <w:sz w:val="21"/>
          <w:szCs w:val="21"/>
        </w:rPr>
        <w:t xml:space="preserve"> &amp; Neubert, D. A. (201</w:t>
      </w:r>
      <w:r w:rsidR="00E82DCD" w:rsidRPr="00C85109">
        <w:rPr>
          <w:rFonts w:asciiTheme="minorHAnsi" w:hAnsiTheme="minorHAnsi" w:cstheme="minorHAnsi"/>
          <w:sz w:val="21"/>
          <w:szCs w:val="21"/>
        </w:rPr>
        <w:t>3</w:t>
      </w:r>
      <w:r w:rsidRPr="00C85109">
        <w:rPr>
          <w:rFonts w:asciiTheme="minorHAnsi" w:hAnsiTheme="minorHAnsi" w:cstheme="minorHAnsi"/>
          <w:sz w:val="21"/>
          <w:szCs w:val="21"/>
        </w:rPr>
        <w:t xml:space="preserve">). Transitioning </w:t>
      </w:r>
      <w:r w:rsidR="00AB6BF4" w:rsidRPr="00C85109">
        <w:rPr>
          <w:rFonts w:asciiTheme="minorHAnsi" w:hAnsiTheme="minorHAnsi" w:cstheme="minorHAnsi"/>
          <w:sz w:val="21"/>
          <w:szCs w:val="21"/>
        </w:rPr>
        <w:t>youth with intellectual and other developmental disabilities: Predicting community employment outcomes.</w:t>
      </w:r>
      <w:r w:rsidRPr="00C85109">
        <w:rPr>
          <w:rFonts w:asciiTheme="minorHAnsi" w:hAnsiTheme="minorHAnsi" w:cstheme="minorHAnsi"/>
          <w:sz w:val="21"/>
          <w:szCs w:val="21"/>
        </w:rPr>
        <w:t xml:space="preserve"> </w:t>
      </w:r>
      <w:r w:rsidRPr="00C85109">
        <w:rPr>
          <w:rFonts w:asciiTheme="minorHAnsi" w:hAnsiTheme="minorHAnsi" w:cstheme="minorHAnsi"/>
          <w:i/>
          <w:iCs/>
          <w:sz w:val="21"/>
          <w:szCs w:val="21"/>
        </w:rPr>
        <w:t>Career Development and Transition for Exceptional Individuals</w:t>
      </w:r>
      <w:r w:rsidRPr="00C85109">
        <w:rPr>
          <w:rFonts w:asciiTheme="minorHAnsi" w:hAnsiTheme="minorHAnsi" w:cstheme="minorHAnsi"/>
          <w:sz w:val="21"/>
          <w:szCs w:val="21"/>
        </w:rPr>
        <w:t xml:space="preserve">, </w:t>
      </w:r>
      <w:r w:rsidRPr="00C85109">
        <w:rPr>
          <w:rFonts w:asciiTheme="minorHAnsi" w:hAnsiTheme="minorHAnsi" w:cstheme="minorHAnsi"/>
          <w:i/>
          <w:iCs/>
          <w:sz w:val="21"/>
          <w:szCs w:val="21"/>
        </w:rPr>
        <w:t>36</w:t>
      </w:r>
      <w:r w:rsidR="00AB6BF4" w:rsidRPr="00C85109">
        <w:rPr>
          <w:rFonts w:asciiTheme="minorHAnsi" w:hAnsiTheme="minorHAnsi" w:cstheme="minorHAnsi"/>
          <w:sz w:val="21"/>
          <w:szCs w:val="21"/>
        </w:rPr>
        <w:t>(</w:t>
      </w:r>
      <w:r w:rsidRPr="00C85109">
        <w:rPr>
          <w:rFonts w:asciiTheme="minorHAnsi" w:hAnsiTheme="minorHAnsi" w:cstheme="minorHAnsi"/>
          <w:sz w:val="21"/>
          <w:szCs w:val="21"/>
        </w:rPr>
        <w:t>3</w:t>
      </w:r>
      <w:r w:rsidR="00AB6BF4" w:rsidRPr="00C85109">
        <w:rPr>
          <w:rFonts w:asciiTheme="minorHAnsi" w:hAnsiTheme="minorHAnsi" w:cstheme="minorHAnsi"/>
          <w:sz w:val="21"/>
          <w:szCs w:val="21"/>
        </w:rPr>
        <w:t>),</w:t>
      </w:r>
      <w:r w:rsidRPr="00C85109">
        <w:rPr>
          <w:rFonts w:asciiTheme="minorHAnsi" w:hAnsiTheme="minorHAnsi" w:cstheme="minorHAnsi"/>
          <w:sz w:val="21"/>
          <w:szCs w:val="21"/>
        </w:rPr>
        <w:t xml:space="preserve"> 188-198.</w:t>
      </w:r>
      <w:r w:rsidR="008D0CF8" w:rsidRPr="00C85109">
        <w:rPr>
          <w:rFonts w:asciiTheme="minorHAnsi" w:hAnsiTheme="minorHAnsi" w:cstheme="minorHAnsi"/>
          <w:sz w:val="21"/>
          <w:szCs w:val="21"/>
        </w:rPr>
        <w:t xml:space="preserve"> https://doi.org/10.1177/2165143412469399</w:t>
      </w:r>
    </w:p>
    <w:bookmarkEnd w:id="210"/>
    <w:p w14:paraId="551E7CB3" w14:textId="2B015E4C" w:rsidR="00E35816" w:rsidRPr="00C85109" w:rsidRDefault="00E35816" w:rsidP="00CE427B">
      <w:pPr>
        <w:pStyle w:val="EndNoteBibliography"/>
        <w:spacing w:after="120" w:line="276" w:lineRule="auto"/>
        <w:ind w:left="851" w:hanging="491"/>
        <w:rPr>
          <w:rFonts w:asciiTheme="minorHAnsi" w:hAnsiTheme="minorHAnsi" w:cstheme="minorHAnsi"/>
          <w:sz w:val="21"/>
          <w:szCs w:val="21"/>
        </w:rPr>
      </w:pPr>
      <w:r w:rsidRPr="00C85109">
        <w:rPr>
          <w:rFonts w:asciiTheme="minorHAnsi" w:hAnsiTheme="minorHAnsi" w:cstheme="minorHAnsi"/>
          <w:sz w:val="21"/>
          <w:szCs w:val="21"/>
        </w:rPr>
        <w:lastRenderedPageBreak/>
        <w:t>Simplican, S.</w:t>
      </w:r>
      <w:r w:rsidR="008001E1" w:rsidRPr="00C85109">
        <w:rPr>
          <w:rFonts w:asciiTheme="minorHAnsi" w:hAnsiTheme="minorHAnsi" w:cstheme="minorHAnsi"/>
          <w:sz w:val="21"/>
          <w:szCs w:val="21"/>
        </w:rPr>
        <w:t xml:space="preserve"> C.</w:t>
      </w:r>
      <w:r w:rsidRPr="00C85109">
        <w:rPr>
          <w:rFonts w:asciiTheme="minorHAnsi" w:hAnsiTheme="minorHAnsi" w:cstheme="minorHAnsi"/>
          <w:sz w:val="21"/>
          <w:szCs w:val="21"/>
        </w:rPr>
        <w:t xml:space="preserve">, Leader, G., Kosciulek, J., &amp; Leahy, M. (2014). Defining social inclusion of people with intellectual and developmental disabilities: An ecological model of social networks community participation. </w:t>
      </w:r>
      <w:r w:rsidRPr="00C85109">
        <w:rPr>
          <w:rFonts w:asciiTheme="minorHAnsi" w:hAnsiTheme="minorHAnsi" w:cstheme="minorHAnsi"/>
          <w:i/>
          <w:sz w:val="21"/>
          <w:szCs w:val="21"/>
        </w:rPr>
        <w:t>Research in Developmental Disabilities, 38</w:t>
      </w:r>
      <w:r w:rsidRPr="00C85109">
        <w:rPr>
          <w:rFonts w:asciiTheme="minorHAnsi" w:hAnsiTheme="minorHAnsi" w:cstheme="minorHAnsi"/>
          <w:sz w:val="21"/>
          <w:szCs w:val="21"/>
        </w:rPr>
        <w:t xml:space="preserve">, 18-29. </w:t>
      </w:r>
      <w:r w:rsidR="00D90EB3" w:rsidRPr="00C85109">
        <w:rPr>
          <w:rFonts w:asciiTheme="minorHAnsi" w:hAnsiTheme="minorHAnsi" w:cstheme="minorHAnsi"/>
          <w:sz w:val="21"/>
          <w:szCs w:val="21"/>
        </w:rPr>
        <w:t>https://doi.org/10.1016/j.ridd.2014.10.008</w:t>
      </w:r>
    </w:p>
    <w:p w14:paraId="0DA2D15F" w14:textId="3EBA3B79" w:rsidR="00E35816" w:rsidRPr="00C85109" w:rsidRDefault="00E35816" w:rsidP="00CE427B">
      <w:pPr>
        <w:spacing w:before="0" w:after="120" w:line="276" w:lineRule="auto"/>
        <w:ind w:left="851" w:hanging="491"/>
        <w:rPr>
          <w:rFonts w:asciiTheme="minorHAnsi" w:hAnsiTheme="minorHAnsi" w:cstheme="minorHAnsi"/>
          <w:szCs w:val="21"/>
        </w:rPr>
      </w:pPr>
      <w:proofErr w:type="spellStart"/>
      <w:r w:rsidRPr="00C85109">
        <w:rPr>
          <w:rFonts w:asciiTheme="minorHAnsi" w:hAnsiTheme="minorHAnsi" w:cstheme="minorHAnsi"/>
          <w:szCs w:val="21"/>
        </w:rPr>
        <w:t>Skellern</w:t>
      </w:r>
      <w:proofErr w:type="spellEnd"/>
      <w:r w:rsidRPr="00C85109">
        <w:rPr>
          <w:rFonts w:asciiTheme="minorHAnsi" w:hAnsiTheme="minorHAnsi" w:cstheme="minorHAnsi"/>
          <w:szCs w:val="21"/>
        </w:rPr>
        <w:t xml:space="preserve">, J., &amp; Astbury, G. (2014). Gaining employment: </w:t>
      </w:r>
      <w:r w:rsidR="00BD002C" w:rsidRPr="00C85109">
        <w:rPr>
          <w:rFonts w:asciiTheme="minorHAnsi" w:hAnsiTheme="minorHAnsi" w:cstheme="minorHAnsi"/>
          <w:szCs w:val="21"/>
        </w:rPr>
        <w:t>T</w:t>
      </w:r>
      <w:r w:rsidRPr="00C85109">
        <w:rPr>
          <w:rFonts w:asciiTheme="minorHAnsi" w:hAnsiTheme="minorHAnsi" w:cstheme="minorHAnsi"/>
          <w:szCs w:val="21"/>
        </w:rPr>
        <w:t xml:space="preserve">he experience of students at a further education college for individuals with learning disabilities. </w:t>
      </w:r>
      <w:r w:rsidRPr="00C85109">
        <w:rPr>
          <w:rFonts w:asciiTheme="minorHAnsi" w:hAnsiTheme="minorHAnsi" w:cstheme="minorHAnsi"/>
          <w:i/>
          <w:iCs/>
          <w:szCs w:val="21"/>
        </w:rPr>
        <w:t>British Journal of Learning Disabilities, 42</w:t>
      </w:r>
      <w:r w:rsidRPr="00C85109">
        <w:rPr>
          <w:rFonts w:asciiTheme="minorHAnsi" w:hAnsiTheme="minorHAnsi" w:cstheme="minorHAnsi"/>
          <w:szCs w:val="21"/>
        </w:rPr>
        <w:t xml:space="preserve">(1), 58-65. </w:t>
      </w:r>
      <w:r w:rsidR="001A381C" w:rsidRPr="00C85109">
        <w:rPr>
          <w:rFonts w:asciiTheme="minorHAnsi" w:hAnsiTheme="minorHAnsi" w:cstheme="minorHAnsi"/>
          <w:szCs w:val="21"/>
        </w:rPr>
        <w:t>https://doi.org/10.1111/bld.12012</w:t>
      </w:r>
    </w:p>
    <w:p w14:paraId="3A46E408" w14:textId="58C0BF9B" w:rsidR="00E35816" w:rsidRPr="00C85109" w:rsidRDefault="00E35816" w:rsidP="00CE427B">
      <w:pPr>
        <w:pStyle w:val="EndNoteBibliography"/>
        <w:spacing w:after="120" w:line="276" w:lineRule="auto"/>
        <w:ind w:left="851" w:hanging="491"/>
        <w:rPr>
          <w:rFonts w:asciiTheme="minorHAnsi" w:hAnsiTheme="minorHAnsi" w:cstheme="minorHAnsi"/>
          <w:sz w:val="21"/>
          <w:szCs w:val="21"/>
        </w:rPr>
      </w:pPr>
      <w:bookmarkStart w:id="211" w:name="_Hlk41242049"/>
      <w:r w:rsidRPr="00C85109">
        <w:rPr>
          <w:rFonts w:asciiTheme="minorHAnsi" w:hAnsiTheme="minorHAnsi" w:cstheme="minorHAnsi"/>
          <w:sz w:val="21"/>
          <w:szCs w:val="21"/>
        </w:rPr>
        <w:t>Smith, D.</w:t>
      </w:r>
      <w:r w:rsidR="00976C25" w:rsidRPr="00C85109">
        <w:rPr>
          <w:rFonts w:asciiTheme="minorHAnsi" w:hAnsiTheme="minorHAnsi" w:cstheme="minorHAnsi"/>
          <w:sz w:val="21"/>
          <w:szCs w:val="21"/>
        </w:rPr>
        <w:t xml:space="preserve"> L.</w:t>
      </w:r>
      <w:r w:rsidRPr="00C85109">
        <w:rPr>
          <w:rFonts w:asciiTheme="minorHAnsi" w:hAnsiTheme="minorHAnsi" w:cstheme="minorHAnsi"/>
          <w:sz w:val="21"/>
          <w:szCs w:val="21"/>
        </w:rPr>
        <w:t>, Atmatzidis, K., Capogreco, M., Lloyd-Randolfi, D., &amp; Seman, V. (2017). Evidence-</w:t>
      </w:r>
      <w:r w:rsidR="00586679" w:rsidRPr="00C85109">
        <w:rPr>
          <w:rFonts w:asciiTheme="minorHAnsi" w:hAnsiTheme="minorHAnsi" w:cstheme="minorHAnsi"/>
          <w:sz w:val="21"/>
          <w:szCs w:val="21"/>
        </w:rPr>
        <w:t>based interventions for increasing work participation for persons with various disabilitie</w:t>
      </w:r>
      <w:r w:rsidRPr="00C85109">
        <w:rPr>
          <w:rFonts w:asciiTheme="minorHAnsi" w:hAnsiTheme="minorHAnsi" w:cstheme="minorHAnsi"/>
          <w:sz w:val="21"/>
          <w:szCs w:val="21"/>
        </w:rPr>
        <w:t xml:space="preserve">s. </w:t>
      </w:r>
      <w:r w:rsidRPr="00C85109">
        <w:rPr>
          <w:rFonts w:asciiTheme="minorHAnsi" w:hAnsiTheme="minorHAnsi" w:cstheme="minorHAnsi"/>
          <w:i/>
          <w:sz w:val="21"/>
          <w:szCs w:val="21"/>
        </w:rPr>
        <w:t xml:space="preserve">OTJR: Occupation, Participation </w:t>
      </w:r>
      <w:r w:rsidR="00C07EC9" w:rsidRPr="00C85109">
        <w:rPr>
          <w:rFonts w:asciiTheme="minorHAnsi" w:hAnsiTheme="minorHAnsi" w:cstheme="minorHAnsi"/>
          <w:i/>
          <w:sz w:val="21"/>
          <w:szCs w:val="21"/>
        </w:rPr>
        <w:t>and</w:t>
      </w:r>
      <w:r w:rsidRPr="00C85109">
        <w:rPr>
          <w:rFonts w:asciiTheme="minorHAnsi" w:hAnsiTheme="minorHAnsi" w:cstheme="minorHAnsi"/>
          <w:i/>
          <w:sz w:val="21"/>
          <w:szCs w:val="21"/>
        </w:rPr>
        <w:t xml:space="preserve"> Health, 37</w:t>
      </w:r>
      <w:r w:rsidR="000077D8" w:rsidRPr="00C85109">
        <w:rPr>
          <w:rFonts w:asciiTheme="minorHAnsi" w:hAnsiTheme="minorHAnsi" w:cstheme="minorHAnsi"/>
          <w:iCs/>
          <w:sz w:val="21"/>
          <w:szCs w:val="21"/>
        </w:rPr>
        <w:t>(2)</w:t>
      </w:r>
      <w:r w:rsidRPr="00C85109">
        <w:rPr>
          <w:rFonts w:asciiTheme="minorHAnsi" w:hAnsiTheme="minorHAnsi" w:cstheme="minorHAnsi"/>
          <w:sz w:val="21"/>
          <w:szCs w:val="21"/>
        </w:rPr>
        <w:t xml:space="preserve">, 3S-13S. </w:t>
      </w:r>
      <w:r w:rsidR="00D63B36" w:rsidRPr="00C85109">
        <w:rPr>
          <w:rFonts w:asciiTheme="minorHAnsi" w:hAnsiTheme="minorHAnsi" w:cstheme="minorHAnsi"/>
          <w:sz w:val="21"/>
          <w:szCs w:val="21"/>
        </w:rPr>
        <w:t>https://doi.org/10.1177/1539449216681276</w:t>
      </w:r>
    </w:p>
    <w:p w14:paraId="2EBE24B8" w14:textId="55C051AD" w:rsidR="00DC14DF" w:rsidRPr="00C85109" w:rsidRDefault="00DC14DF" w:rsidP="00DC14DF">
      <w:pPr>
        <w:pStyle w:val="EndNoteBibliography"/>
        <w:spacing w:after="120" w:line="276" w:lineRule="auto"/>
        <w:ind w:left="851" w:hanging="491"/>
        <w:rPr>
          <w:rFonts w:asciiTheme="minorHAnsi" w:hAnsiTheme="minorHAnsi" w:cstheme="minorHAnsi"/>
          <w:sz w:val="21"/>
          <w:szCs w:val="21"/>
        </w:rPr>
      </w:pPr>
      <w:r w:rsidRPr="00C85109">
        <w:rPr>
          <w:rFonts w:asciiTheme="minorHAnsi" w:hAnsiTheme="minorHAnsi" w:cstheme="minorHAnsi"/>
          <w:sz w:val="21"/>
          <w:szCs w:val="21"/>
        </w:rPr>
        <w:t xml:space="preserve">Smith, F. A., Grigal, M., &amp; Sulewski, J. S. (2012). </w:t>
      </w:r>
      <w:r w:rsidR="00FF6562" w:rsidRPr="00C85109">
        <w:rPr>
          <w:rFonts w:asciiTheme="minorHAnsi" w:hAnsiTheme="minorHAnsi" w:cstheme="minorHAnsi"/>
          <w:i/>
          <w:iCs/>
          <w:sz w:val="21"/>
          <w:szCs w:val="21"/>
        </w:rPr>
        <w:t xml:space="preserve">The </w:t>
      </w:r>
      <w:r w:rsidR="0093774F" w:rsidRPr="00C85109">
        <w:rPr>
          <w:rFonts w:asciiTheme="minorHAnsi" w:hAnsiTheme="minorHAnsi" w:cstheme="minorHAnsi"/>
          <w:i/>
          <w:iCs/>
          <w:sz w:val="21"/>
          <w:szCs w:val="21"/>
        </w:rPr>
        <w:t>impact of postsecondary education on employment outcomes for transition-age age youth with and without disabilities</w:t>
      </w:r>
      <w:r w:rsidR="00FF6562" w:rsidRPr="00C85109">
        <w:rPr>
          <w:rFonts w:asciiTheme="minorHAnsi" w:hAnsiTheme="minorHAnsi" w:cstheme="minorHAnsi"/>
          <w:i/>
          <w:iCs/>
          <w:sz w:val="21"/>
          <w:szCs w:val="21"/>
        </w:rPr>
        <w:t xml:space="preserve">: A </w:t>
      </w:r>
      <w:r w:rsidR="0093774F" w:rsidRPr="00C85109">
        <w:rPr>
          <w:rFonts w:asciiTheme="minorHAnsi" w:hAnsiTheme="minorHAnsi" w:cstheme="minorHAnsi"/>
          <w:i/>
          <w:iCs/>
          <w:sz w:val="21"/>
          <w:szCs w:val="21"/>
        </w:rPr>
        <w:t>secondary analysis of american community survey dat</w:t>
      </w:r>
      <w:r w:rsidR="00FF6562" w:rsidRPr="00C85109">
        <w:rPr>
          <w:rFonts w:asciiTheme="minorHAnsi" w:hAnsiTheme="minorHAnsi" w:cstheme="minorHAnsi"/>
          <w:i/>
          <w:iCs/>
          <w:sz w:val="21"/>
          <w:szCs w:val="21"/>
        </w:rPr>
        <w:t>a.</w:t>
      </w:r>
      <w:r w:rsidR="00FF6562" w:rsidRPr="00C85109">
        <w:rPr>
          <w:rFonts w:asciiTheme="minorHAnsi" w:hAnsiTheme="minorHAnsi" w:cstheme="minorHAnsi"/>
          <w:sz w:val="21"/>
          <w:szCs w:val="21"/>
        </w:rPr>
        <w:t xml:space="preserve"> </w:t>
      </w:r>
      <w:r w:rsidR="0093774F" w:rsidRPr="00C85109">
        <w:rPr>
          <w:rFonts w:asciiTheme="minorHAnsi" w:hAnsiTheme="minorHAnsi" w:cstheme="minorHAnsi"/>
          <w:sz w:val="21"/>
          <w:szCs w:val="21"/>
        </w:rPr>
        <w:t xml:space="preserve">Institute for Community Inclusion, </w:t>
      </w:r>
      <w:r w:rsidR="00FF6562" w:rsidRPr="00C85109">
        <w:rPr>
          <w:rFonts w:asciiTheme="minorHAnsi" w:hAnsiTheme="minorHAnsi" w:cstheme="minorHAnsi"/>
          <w:sz w:val="21"/>
          <w:szCs w:val="21"/>
        </w:rPr>
        <w:t>University of Massachusetts Boston</w:t>
      </w:r>
      <w:r w:rsidR="00AB0CE6" w:rsidRPr="00C85109">
        <w:rPr>
          <w:rFonts w:asciiTheme="minorHAnsi" w:hAnsiTheme="minorHAnsi" w:cstheme="minorHAnsi"/>
          <w:sz w:val="21"/>
          <w:szCs w:val="21"/>
        </w:rPr>
        <w:t xml:space="preserve">. </w:t>
      </w:r>
      <w:r w:rsidR="002F301C" w:rsidRPr="00C85109">
        <w:rPr>
          <w:rFonts w:asciiTheme="minorHAnsi" w:hAnsiTheme="minorHAnsi" w:cstheme="minorHAnsi"/>
          <w:sz w:val="21"/>
          <w:szCs w:val="21"/>
        </w:rPr>
        <w:t>https://d86.hinsdale86.org/cms/lib/IL01904717/Centricity/Domain/157/Insight_15.pdf</w:t>
      </w:r>
    </w:p>
    <w:p w14:paraId="4CA6DB6D" w14:textId="611B58B0" w:rsidR="00E35816" w:rsidRPr="00C85109" w:rsidRDefault="00E35816" w:rsidP="00CE427B">
      <w:pPr>
        <w:spacing w:before="0" w:after="120" w:line="276" w:lineRule="auto"/>
        <w:ind w:left="851" w:hanging="491"/>
        <w:rPr>
          <w:rFonts w:asciiTheme="minorHAnsi" w:hAnsiTheme="minorHAnsi" w:cstheme="minorHAnsi"/>
          <w:szCs w:val="21"/>
        </w:rPr>
      </w:pPr>
      <w:r w:rsidRPr="00C85109">
        <w:rPr>
          <w:rFonts w:asciiTheme="minorHAnsi" w:hAnsiTheme="minorHAnsi" w:cstheme="minorHAnsi"/>
          <w:szCs w:val="21"/>
        </w:rPr>
        <w:t>Smith, P., McVilly, K.</w:t>
      </w:r>
      <w:r w:rsidR="003A4709" w:rsidRPr="00C85109">
        <w:rPr>
          <w:rFonts w:asciiTheme="minorHAnsi" w:hAnsiTheme="minorHAnsi" w:cstheme="minorHAnsi"/>
          <w:szCs w:val="21"/>
        </w:rPr>
        <w:t xml:space="preserve"> R.</w:t>
      </w:r>
      <w:r w:rsidRPr="00C85109">
        <w:rPr>
          <w:rFonts w:asciiTheme="minorHAnsi" w:hAnsiTheme="minorHAnsi" w:cstheme="minorHAnsi"/>
          <w:szCs w:val="21"/>
        </w:rPr>
        <w:t xml:space="preserve">, McGillivray, J., &amp; Chan, J. (2018). Developing open employment outcomes for people with an intellectual disability </w:t>
      </w:r>
      <w:proofErr w:type="spellStart"/>
      <w:r w:rsidRPr="00C85109">
        <w:rPr>
          <w:rFonts w:asciiTheme="minorHAnsi" w:hAnsiTheme="minorHAnsi" w:cstheme="minorHAnsi"/>
          <w:szCs w:val="21"/>
        </w:rPr>
        <w:t>utilising</w:t>
      </w:r>
      <w:proofErr w:type="spellEnd"/>
      <w:r w:rsidRPr="00C85109">
        <w:rPr>
          <w:rFonts w:asciiTheme="minorHAnsi" w:hAnsiTheme="minorHAnsi" w:cstheme="minorHAnsi"/>
          <w:szCs w:val="21"/>
        </w:rPr>
        <w:t xml:space="preserve"> a social enterprise framework. </w:t>
      </w:r>
      <w:r w:rsidR="00A16C6F" w:rsidRPr="00C85109">
        <w:rPr>
          <w:rFonts w:asciiTheme="minorHAnsi" w:hAnsiTheme="minorHAnsi" w:cstheme="minorHAnsi"/>
          <w:i/>
          <w:iCs/>
          <w:szCs w:val="21"/>
        </w:rPr>
        <w:t>Journal of Vocational Rehabilitation, 48</w:t>
      </w:r>
      <w:r w:rsidR="00A16C6F" w:rsidRPr="00C85109">
        <w:rPr>
          <w:rFonts w:asciiTheme="minorHAnsi" w:hAnsiTheme="minorHAnsi" w:cstheme="minorHAnsi"/>
          <w:szCs w:val="21"/>
        </w:rPr>
        <w:t xml:space="preserve">(1), 59-77. </w:t>
      </w:r>
      <w:r w:rsidR="00F41C04" w:rsidRPr="00C85109">
        <w:rPr>
          <w:rFonts w:asciiTheme="minorHAnsi" w:hAnsiTheme="minorHAnsi" w:cstheme="minorHAnsi"/>
          <w:szCs w:val="21"/>
        </w:rPr>
        <w:t>https://doi.org/10.3233/JVR-170916</w:t>
      </w:r>
    </w:p>
    <w:p w14:paraId="383CBA3E" w14:textId="668A7072" w:rsidR="00E35816" w:rsidRPr="00C85109" w:rsidRDefault="00E35816" w:rsidP="00CE427B">
      <w:pPr>
        <w:pStyle w:val="EndNoteBibliography"/>
        <w:spacing w:after="120" w:line="276" w:lineRule="auto"/>
        <w:ind w:left="851" w:hanging="491"/>
        <w:rPr>
          <w:rFonts w:asciiTheme="minorHAnsi" w:hAnsiTheme="minorHAnsi" w:cstheme="minorHAnsi"/>
          <w:sz w:val="21"/>
          <w:szCs w:val="21"/>
        </w:rPr>
      </w:pPr>
      <w:bookmarkStart w:id="212" w:name="_Hlk41240935"/>
      <w:bookmarkStart w:id="213" w:name="_Hlk40802026"/>
      <w:bookmarkEnd w:id="211"/>
      <w:r w:rsidRPr="00C85109">
        <w:rPr>
          <w:rFonts w:asciiTheme="minorHAnsi" w:hAnsiTheme="minorHAnsi" w:cstheme="minorHAnsi"/>
          <w:sz w:val="21"/>
          <w:szCs w:val="21"/>
        </w:rPr>
        <w:t xml:space="preserve">Smith, P., McVilly, K., Rhodes, P., &amp; Pavlidis, L. (2018). </w:t>
      </w:r>
      <w:r w:rsidR="00BA1400" w:rsidRPr="00C85109">
        <w:rPr>
          <w:rFonts w:asciiTheme="minorHAnsi" w:hAnsiTheme="minorHAnsi" w:cstheme="minorHAnsi"/>
          <w:i/>
          <w:iCs/>
          <w:sz w:val="21"/>
          <w:szCs w:val="21"/>
        </w:rPr>
        <w:t>Customised Employment IWF Final Report</w:t>
      </w:r>
      <w:r w:rsidRPr="00C85109">
        <w:rPr>
          <w:rFonts w:asciiTheme="minorHAnsi" w:hAnsiTheme="minorHAnsi" w:cstheme="minorHAnsi"/>
          <w:sz w:val="21"/>
          <w:szCs w:val="21"/>
        </w:rPr>
        <w:t xml:space="preserve">. </w:t>
      </w:r>
      <w:r w:rsidR="00BA1400" w:rsidRPr="00C85109">
        <w:rPr>
          <w:rFonts w:asciiTheme="minorHAnsi" w:hAnsiTheme="minorHAnsi" w:cstheme="minorHAnsi"/>
          <w:sz w:val="21"/>
          <w:szCs w:val="21"/>
        </w:rPr>
        <w:t>I</w:t>
      </w:r>
      <w:r w:rsidR="00804A33" w:rsidRPr="00C85109">
        <w:rPr>
          <w:rFonts w:asciiTheme="minorHAnsi" w:hAnsiTheme="minorHAnsi" w:cstheme="minorHAnsi"/>
          <w:sz w:val="21"/>
          <w:szCs w:val="21"/>
        </w:rPr>
        <w:t>nnovative Workforce Fund</w:t>
      </w:r>
      <w:r w:rsidR="00BA1400" w:rsidRPr="00C85109">
        <w:rPr>
          <w:rFonts w:asciiTheme="minorHAnsi" w:hAnsiTheme="minorHAnsi" w:cstheme="minorHAnsi"/>
          <w:sz w:val="21"/>
          <w:szCs w:val="21"/>
        </w:rPr>
        <w:t xml:space="preserve">. </w:t>
      </w:r>
      <w:r w:rsidR="00DF6E8D" w:rsidRPr="00C85109">
        <w:rPr>
          <w:rFonts w:asciiTheme="minorHAnsi" w:hAnsiTheme="minorHAnsi" w:cstheme="minorHAnsi"/>
          <w:sz w:val="21"/>
          <w:szCs w:val="21"/>
        </w:rPr>
        <w:t>https://minerva-access.unimelb.edu.au/bitstream/handle/11343/241624/IWF%20Final%20Report%202018.pdf</w:t>
      </w:r>
    </w:p>
    <w:p w14:paraId="0CC1A79B" w14:textId="7EDB289E" w:rsidR="00E35816" w:rsidRPr="00C85109" w:rsidRDefault="00E35816" w:rsidP="00CE427B">
      <w:pPr>
        <w:pStyle w:val="CommentText"/>
        <w:spacing w:before="0" w:after="120" w:line="276" w:lineRule="auto"/>
        <w:ind w:left="851" w:hanging="491"/>
        <w:rPr>
          <w:rFonts w:asciiTheme="minorHAnsi" w:hAnsiTheme="minorHAnsi" w:cstheme="minorHAnsi"/>
          <w:szCs w:val="21"/>
        </w:rPr>
      </w:pPr>
      <w:proofErr w:type="spellStart"/>
      <w:r w:rsidRPr="00C85109">
        <w:rPr>
          <w:rFonts w:asciiTheme="minorHAnsi" w:hAnsiTheme="minorHAnsi" w:cstheme="minorHAnsi"/>
          <w:szCs w:val="21"/>
        </w:rPr>
        <w:t>Soeker</w:t>
      </w:r>
      <w:proofErr w:type="spellEnd"/>
      <w:r w:rsidRPr="00C85109">
        <w:rPr>
          <w:rFonts w:asciiTheme="minorHAnsi" w:hAnsiTheme="minorHAnsi" w:cstheme="minorHAnsi"/>
          <w:szCs w:val="21"/>
        </w:rPr>
        <w:t xml:space="preserve">, M. S., De </w:t>
      </w:r>
      <w:proofErr w:type="spellStart"/>
      <w:r w:rsidRPr="00C85109">
        <w:rPr>
          <w:rFonts w:asciiTheme="minorHAnsi" w:hAnsiTheme="minorHAnsi" w:cstheme="minorHAnsi"/>
          <w:szCs w:val="21"/>
        </w:rPr>
        <w:t>Jongh</w:t>
      </w:r>
      <w:proofErr w:type="spellEnd"/>
      <w:r w:rsidRPr="00C85109">
        <w:rPr>
          <w:rFonts w:asciiTheme="minorHAnsi" w:hAnsiTheme="minorHAnsi" w:cstheme="minorHAnsi"/>
          <w:szCs w:val="21"/>
        </w:rPr>
        <w:t xml:space="preserve">, J. C., </w:t>
      </w:r>
      <w:proofErr w:type="spellStart"/>
      <w:r w:rsidRPr="00C85109">
        <w:rPr>
          <w:rFonts w:asciiTheme="minorHAnsi" w:hAnsiTheme="minorHAnsi" w:cstheme="minorHAnsi"/>
          <w:szCs w:val="21"/>
        </w:rPr>
        <w:t>Diedericks</w:t>
      </w:r>
      <w:proofErr w:type="spellEnd"/>
      <w:r w:rsidRPr="00C85109">
        <w:rPr>
          <w:rFonts w:asciiTheme="minorHAnsi" w:hAnsiTheme="minorHAnsi" w:cstheme="minorHAnsi"/>
          <w:szCs w:val="21"/>
        </w:rPr>
        <w:t xml:space="preserve">, A., Matthys, K., Swart, N., &amp; van der Pol, P. (2018). The experiences and perceptions of persons with disabilities regarding work skills development in sheltered and protective workshops. </w:t>
      </w:r>
      <w:r w:rsidRPr="00C85109">
        <w:rPr>
          <w:rFonts w:asciiTheme="minorHAnsi" w:hAnsiTheme="minorHAnsi" w:cstheme="minorHAnsi"/>
          <w:i/>
          <w:iCs/>
          <w:szCs w:val="21"/>
        </w:rPr>
        <w:t>Work</w:t>
      </w:r>
      <w:r w:rsidR="00C464A7" w:rsidRPr="00C85109">
        <w:rPr>
          <w:rFonts w:asciiTheme="minorHAnsi" w:hAnsiTheme="minorHAnsi" w:cstheme="minorHAnsi"/>
          <w:i/>
          <w:iCs/>
          <w:szCs w:val="21"/>
        </w:rPr>
        <w:t>,</w:t>
      </w:r>
      <w:r w:rsidRPr="00C85109">
        <w:rPr>
          <w:rFonts w:asciiTheme="minorHAnsi" w:hAnsiTheme="minorHAnsi" w:cstheme="minorHAnsi"/>
          <w:szCs w:val="21"/>
        </w:rPr>
        <w:t xml:space="preserve"> </w:t>
      </w:r>
      <w:r w:rsidRPr="00C85109">
        <w:rPr>
          <w:rFonts w:asciiTheme="minorHAnsi" w:hAnsiTheme="minorHAnsi" w:cstheme="minorHAnsi"/>
          <w:i/>
          <w:iCs/>
          <w:szCs w:val="21"/>
        </w:rPr>
        <w:t>59</w:t>
      </w:r>
      <w:r w:rsidRPr="00C85109">
        <w:rPr>
          <w:rFonts w:asciiTheme="minorHAnsi" w:hAnsiTheme="minorHAnsi" w:cstheme="minorHAnsi"/>
          <w:szCs w:val="21"/>
        </w:rPr>
        <w:t xml:space="preserve">(2), 303-314. </w:t>
      </w:r>
      <w:r w:rsidR="00D000C4" w:rsidRPr="00C85109">
        <w:rPr>
          <w:rFonts w:asciiTheme="minorHAnsi" w:hAnsiTheme="minorHAnsi" w:cstheme="minorHAnsi"/>
          <w:szCs w:val="21"/>
        </w:rPr>
        <w:t>https://doi.org/10.3233/WOR-172674</w:t>
      </w:r>
    </w:p>
    <w:p w14:paraId="7C4798EE" w14:textId="2902CA56" w:rsidR="00E35816" w:rsidRPr="00C85109" w:rsidRDefault="00E35816" w:rsidP="00CE427B">
      <w:pPr>
        <w:spacing w:before="0" w:after="120" w:line="276" w:lineRule="auto"/>
        <w:ind w:left="851" w:hanging="491"/>
        <w:rPr>
          <w:rFonts w:asciiTheme="minorHAnsi" w:hAnsiTheme="minorHAnsi" w:cstheme="minorHAnsi"/>
          <w:szCs w:val="21"/>
        </w:rPr>
      </w:pPr>
      <w:bookmarkStart w:id="214" w:name="_Hlk41253391"/>
      <w:bookmarkEnd w:id="212"/>
      <w:r w:rsidRPr="00C85109">
        <w:rPr>
          <w:rFonts w:asciiTheme="minorHAnsi" w:hAnsiTheme="minorHAnsi" w:cstheme="minorHAnsi"/>
          <w:szCs w:val="21"/>
        </w:rPr>
        <w:t>Southward, J.</w:t>
      </w:r>
      <w:r w:rsidR="00F30E92" w:rsidRPr="00C85109">
        <w:rPr>
          <w:rFonts w:asciiTheme="minorHAnsi" w:hAnsiTheme="minorHAnsi" w:cstheme="minorHAnsi"/>
          <w:szCs w:val="21"/>
        </w:rPr>
        <w:t xml:space="preserve"> D.</w:t>
      </w:r>
      <w:r w:rsidR="006E5E37" w:rsidRPr="00C85109">
        <w:rPr>
          <w:rFonts w:asciiTheme="minorHAnsi" w:hAnsiTheme="minorHAnsi" w:cstheme="minorHAnsi"/>
          <w:szCs w:val="21"/>
        </w:rPr>
        <w:t>,</w:t>
      </w:r>
      <w:r w:rsidRPr="00C85109">
        <w:rPr>
          <w:rFonts w:asciiTheme="minorHAnsi" w:hAnsiTheme="minorHAnsi" w:cstheme="minorHAnsi"/>
          <w:szCs w:val="21"/>
        </w:rPr>
        <w:t xml:space="preserve"> &amp; </w:t>
      </w:r>
      <w:proofErr w:type="spellStart"/>
      <w:r w:rsidRPr="00C85109">
        <w:rPr>
          <w:rFonts w:asciiTheme="minorHAnsi" w:hAnsiTheme="minorHAnsi" w:cstheme="minorHAnsi"/>
          <w:szCs w:val="21"/>
        </w:rPr>
        <w:t>Kyzar</w:t>
      </w:r>
      <w:proofErr w:type="spellEnd"/>
      <w:r w:rsidRPr="00C85109">
        <w:rPr>
          <w:rFonts w:asciiTheme="minorHAnsi" w:hAnsiTheme="minorHAnsi" w:cstheme="minorHAnsi"/>
          <w:szCs w:val="21"/>
        </w:rPr>
        <w:t xml:space="preserve">, K. (2017). Predictors of </w:t>
      </w:r>
      <w:r w:rsidR="006E5E37" w:rsidRPr="00C85109">
        <w:rPr>
          <w:rFonts w:asciiTheme="minorHAnsi" w:hAnsiTheme="minorHAnsi" w:cstheme="minorHAnsi"/>
          <w:szCs w:val="21"/>
        </w:rPr>
        <w:t>competitive employment for students with intellectual and/or developmental disabilitie</w:t>
      </w:r>
      <w:r w:rsidRPr="00C85109">
        <w:rPr>
          <w:rFonts w:asciiTheme="minorHAnsi" w:hAnsiTheme="minorHAnsi" w:cstheme="minorHAnsi"/>
          <w:szCs w:val="21"/>
        </w:rPr>
        <w:t>s</w:t>
      </w:r>
      <w:r w:rsidR="006E5E37" w:rsidRPr="00C85109">
        <w:rPr>
          <w:rFonts w:asciiTheme="minorHAnsi" w:hAnsiTheme="minorHAnsi" w:cstheme="minorHAnsi"/>
          <w:szCs w:val="21"/>
        </w:rPr>
        <w:t>.</w:t>
      </w:r>
      <w:r w:rsidRPr="00C85109">
        <w:rPr>
          <w:rFonts w:asciiTheme="minorHAnsi" w:hAnsiTheme="minorHAnsi" w:cstheme="minorHAnsi"/>
          <w:szCs w:val="21"/>
        </w:rPr>
        <w:t xml:space="preserve"> </w:t>
      </w:r>
      <w:r w:rsidRPr="00C85109">
        <w:rPr>
          <w:rFonts w:asciiTheme="minorHAnsi" w:hAnsiTheme="minorHAnsi" w:cstheme="minorHAnsi"/>
          <w:i/>
          <w:iCs/>
          <w:szCs w:val="21"/>
        </w:rPr>
        <w:t>Education and Training in Autism and Developmental Disabilities</w:t>
      </w:r>
      <w:r w:rsidRPr="00C85109">
        <w:rPr>
          <w:rFonts w:asciiTheme="minorHAnsi" w:hAnsiTheme="minorHAnsi" w:cstheme="minorHAnsi"/>
          <w:szCs w:val="21"/>
        </w:rPr>
        <w:t>,</w:t>
      </w:r>
      <w:r w:rsidR="006E5E37" w:rsidRPr="00C85109">
        <w:rPr>
          <w:rFonts w:asciiTheme="minorHAnsi" w:hAnsiTheme="minorHAnsi" w:cstheme="minorHAnsi"/>
          <w:szCs w:val="21"/>
        </w:rPr>
        <w:t xml:space="preserve"> </w:t>
      </w:r>
      <w:r w:rsidRPr="00C85109">
        <w:rPr>
          <w:rFonts w:asciiTheme="minorHAnsi" w:hAnsiTheme="minorHAnsi" w:cstheme="minorHAnsi"/>
          <w:i/>
          <w:iCs/>
          <w:szCs w:val="21"/>
        </w:rPr>
        <w:t>52</w:t>
      </w:r>
      <w:r w:rsidRPr="00C85109">
        <w:rPr>
          <w:rFonts w:asciiTheme="minorHAnsi" w:hAnsiTheme="minorHAnsi" w:cstheme="minorHAnsi"/>
          <w:szCs w:val="21"/>
        </w:rPr>
        <w:t>(1), 26-37.</w:t>
      </w:r>
      <w:bookmarkEnd w:id="213"/>
    </w:p>
    <w:bookmarkEnd w:id="214"/>
    <w:p w14:paraId="61C2E86E" w14:textId="49B8837A" w:rsidR="00E35816" w:rsidRPr="00C85109" w:rsidRDefault="00E35816" w:rsidP="00CE427B">
      <w:pPr>
        <w:spacing w:before="0" w:after="160" w:line="259" w:lineRule="auto"/>
        <w:ind w:left="851" w:hanging="491"/>
        <w:rPr>
          <w:rFonts w:asciiTheme="minorHAnsi" w:hAnsiTheme="minorHAnsi" w:cstheme="minorHAnsi"/>
          <w:szCs w:val="21"/>
        </w:rPr>
      </w:pPr>
      <w:proofErr w:type="spellStart"/>
      <w:r w:rsidRPr="00C85109">
        <w:rPr>
          <w:rFonts w:asciiTheme="minorHAnsi" w:hAnsiTheme="minorHAnsi" w:cstheme="minorHAnsi"/>
          <w:szCs w:val="21"/>
        </w:rPr>
        <w:t>Spagnolo</w:t>
      </w:r>
      <w:proofErr w:type="spellEnd"/>
      <w:r w:rsidRPr="00C85109">
        <w:rPr>
          <w:rFonts w:asciiTheme="minorHAnsi" w:hAnsiTheme="minorHAnsi" w:cstheme="minorHAnsi"/>
          <w:szCs w:val="21"/>
        </w:rPr>
        <w:t>, A.</w:t>
      </w:r>
      <w:r w:rsidR="007D54EB" w:rsidRPr="00C85109">
        <w:rPr>
          <w:rFonts w:asciiTheme="minorHAnsi" w:hAnsiTheme="minorHAnsi" w:cstheme="minorHAnsi"/>
          <w:szCs w:val="21"/>
        </w:rPr>
        <w:t xml:space="preserve"> B.</w:t>
      </w:r>
      <w:r w:rsidR="006E5E37" w:rsidRPr="00C85109">
        <w:rPr>
          <w:rFonts w:asciiTheme="minorHAnsi" w:hAnsiTheme="minorHAnsi" w:cstheme="minorHAnsi"/>
          <w:szCs w:val="21"/>
        </w:rPr>
        <w:t>,</w:t>
      </w:r>
      <w:r w:rsidRPr="00C85109">
        <w:rPr>
          <w:rFonts w:asciiTheme="minorHAnsi" w:hAnsiTheme="minorHAnsi" w:cstheme="minorHAnsi"/>
          <w:szCs w:val="21"/>
        </w:rPr>
        <w:t xml:space="preserve"> Gill, K.</w:t>
      </w:r>
      <w:r w:rsidR="004A00CD" w:rsidRPr="00C85109">
        <w:rPr>
          <w:rFonts w:asciiTheme="minorHAnsi" w:hAnsiTheme="minorHAnsi" w:cstheme="minorHAnsi"/>
          <w:szCs w:val="21"/>
        </w:rPr>
        <w:t xml:space="preserve"> J.</w:t>
      </w:r>
      <w:r w:rsidR="006E5E37" w:rsidRPr="00C85109">
        <w:rPr>
          <w:rFonts w:asciiTheme="minorHAnsi" w:hAnsiTheme="minorHAnsi" w:cstheme="minorHAnsi"/>
          <w:szCs w:val="21"/>
        </w:rPr>
        <w:t>,</w:t>
      </w:r>
      <w:r w:rsidRPr="00C85109">
        <w:rPr>
          <w:rFonts w:asciiTheme="minorHAnsi" w:hAnsiTheme="minorHAnsi" w:cstheme="minorHAnsi"/>
          <w:szCs w:val="21"/>
        </w:rPr>
        <w:t xml:space="preserve"> Roberts, M</w:t>
      </w:r>
      <w:r w:rsidR="004A00CD" w:rsidRPr="00C85109">
        <w:rPr>
          <w:rFonts w:asciiTheme="minorHAnsi" w:hAnsiTheme="minorHAnsi" w:cstheme="minorHAnsi"/>
          <w:szCs w:val="21"/>
        </w:rPr>
        <w:t>. M</w:t>
      </w:r>
      <w:r w:rsidRPr="00C85109">
        <w:rPr>
          <w:rFonts w:asciiTheme="minorHAnsi" w:hAnsiTheme="minorHAnsi" w:cstheme="minorHAnsi"/>
          <w:szCs w:val="21"/>
        </w:rPr>
        <w:t>.</w:t>
      </w:r>
      <w:r w:rsidR="006E5E37" w:rsidRPr="00C85109">
        <w:rPr>
          <w:rFonts w:asciiTheme="minorHAnsi" w:hAnsiTheme="minorHAnsi" w:cstheme="minorHAnsi"/>
          <w:szCs w:val="21"/>
        </w:rPr>
        <w:t>,</w:t>
      </w:r>
      <w:r w:rsidRPr="00C85109">
        <w:rPr>
          <w:rFonts w:asciiTheme="minorHAnsi" w:hAnsiTheme="minorHAnsi" w:cstheme="minorHAnsi"/>
          <w:szCs w:val="21"/>
        </w:rPr>
        <w:t xml:space="preserve"> Lu, W.</w:t>
      </w:r>
      <w:r w:rsidR="00072EB7" w:rsidRPr="00C85109">
        <w:rPr>
          <w:rFonts w:asciiTheme="minorHAnsi" w:hAnsiTheme="minorHAnsi" w:cstheme="minorHAnsi"/>
          <w:szCs w:val="21"/>
        </w:rPr>
        <w:t>,</w:t>
      </w:r>
      <w:r w:rsidRPr="00C85109">
        <w:rPr>
          <w:rFonts w:asciiTheme="minorHAnsi" w:hAnsiTheme="minorHAnsi" w:cstheme="minorHAnsi"/>
          <w:szCs w:val="21"/>
        </w:rPr>
        <w:t xml:space="preserve"> Murphy, A</w:t>
      </w:r>
      <w:r w:rsidR="004A00CD" w:rsidRPr="00C85109">
        <w:rPr>
          <w:rFonts w:asciiTheme="minorHAnsi" w:hAnsiTheme="minorHAnsi" w:cstheme="minorHAnsi"/>
          <w:szCs w:val="21"/>
        </w:rPr>
        <w:t>. A</w:t>
      </w:r>
      <w:r w:rsidRPr="00C85109">
        <w:rPr>
          <w:rFonts w:asciiTheme="minorHAnsi" w:hAnsiTheme="minorHAnsi" w:cstheme="minorHAnsi"/>
          <w:szCs w:val="21"/>
        </w:rPr>
        <w:t>.</w:t>
      </w:r>
      <w:r w:rsidR="00072EB7" w:rsidRPr="00C85109">
        <w:rPr>
          <w:rFonts w:asciiTheme="minorHAnsi" w:hAnsiTheme="minorHAnsi" w:cstheme="minorHAnsi"/>
          <w:szCs w:val="21"/>
        </w:rPr>
        <w:t>,</w:t>
      </w:r>
      <w:r w:rsidRPr="00C85109">
        <w:rPr>
          <w:rFonts w:asciiTheme="minorHAnsi" w:hAnsiTheme="minorHAnsi" w:cstheme="minorHAnsi"/>
          <w:szCs w:val="21"/>
        </w:rPr>
        <w:t xml:space="preserve"> </w:t>
      </w:r>
      <w:proofErr w:type="spellStart"/>
      <w:r w:rsidRPr="00C85109">
        <w:rPr>
          <w:rFonts w:asciiTheme="minorHAnsi" w:hAnsiTheme="minorHAnsi" w:cstheme="minorHAnsi"/>
          <w:szCs w:val="21"/>
        </w:rPr>
        <w:t>Librera</w:t>
      </w:r>
      <w:proofErr w:type="spellEnd"/>
      <w:r w:rsidRPr="00C85109">
        <w:rPr>
          <w:rFonts w:asciiTheme="minorHAnsi" w:hAnsiTheme="minorHAnsi" w:cstheme="minorHAnsi"/>
          <w:szCs w:val="21"/>
        </w:rPr>
        <w:t>, L.</w:t>
      </w:r>
      <w:r w:rsidR="004A00CD" w:rsidRPr="00C85109">
        <w:rPr>
          <w:rFonts w:asciiTheme="minorHAnsi" w:hAnsiTheme="minorHAnsi" w:cstheme="minorHAnsi"/>
          <w:szCs w:val="21"/>
        </w:rPr>
        <w:t xml:space="preserve"> A.</w:t>
      </w:r>
      <w:r w:rsidR="00072EB7" w:rsidRPr="00C85109">
        <w:rPr>
          <w:rFonts w:asciiTheme="minorHAnsi" w:hAnsiTheme="minorHAnsi" w:cstheme="minorHAnsi"/>
          <w:szCs w:val="21"/>
        </w:rPr>
        <w:t>,</w:t>
      </w:r>
      <w:r w:rsidRPr="00C85109">
        <w:rPr>
          <w:rFonts w:asciiTheme="minorHAnsi" w:hAnsiTheme="minorHAnsi" w:cstheme="minorHAnsi"/>
          <w:szCs w:val="21"/>
        </w:rPr>
        <w:t xml:space="preserve"> &amp; Dolce, J. (2017). </w:t>
      </w:r>
      <w:r w:rsidRPr="00C85109">
        <w:rPr>
          <w:rFonts w:asciiTheme="minorHAnsi" w:hAnsiTheme="minorHAnsi" w:cstheme="minorHAnsi"/>
          <w:i/>
          <w:iCs/>
          <w:szCs w:val="21"/>
        </w:rPr>
        <w:t xml:space="preserve">Instruction </w:t>
      </w:r>
      <w:r w:rsidR="00D124A1" w:rsidRPr="00C85109">
        <w:rPr>
          <w:rFonts w:asciiTheme="minorHAnsi" w:hAnsiTheme="minorHAnsi" w:cstheme="minorHAnsi"/>
          <w:i/>
          <w:iCs/>
          <w:szCs w:val="21"/>
        </w:rPr>
        <w:t>manual for facilitating circles of support for people with mental illnesses in supported employment settin</w:t>
      </w:r>
      <w:r w:rsidRPr="00C85109">
        <w:rPr>
          <w:rFonts w:asciiTheme="minorHAnsi" w:hAnsiTheme="minorHAnsi" w:cstheme="minorHAnsi"/>
          <w:i/>
          <w:iCs/>
          <w:szCs w:val="21"/>
        </w:rPr>
        <w:t>gs</w:t>
      </w:r>
      <w:r w:rsidR="00F31503" w:rsidRPr="00C85109">
        <w:rPr>
          <w:rFonts w:asciiTheme="minorHAnsi" w:hAnsiTheme="minorHAnsi" w:cstheme="minorHAnsi"/>
          <w:szCs w:val="21"/>
        </w:rPr>
        <w:t>.</w:t>
      </w:r>
      <w:r w:rsidR="00045DA3" w:rsidRPr="00C85109">
        <w:rPr>
          <w:rFonts w:asciiTheme="minorHAnsi" w:hAnsiTheme="minorHAnsi" w:cstheme="minorHAnsi"/>
          <w:szCs w:val="21"/>
        </w:rPr>
        <w:t xml:space="preserve"> </w:t>
      </w:r>
      <w:r w:rsidRPr="00C85109">
        <w:rPr>
          <w:rFonts w:asciiTheme="minorHAnsi" w:hAnsiTheme="minorHAnsi" w:cstheme="minorHAnsi"/>
          <w:szCs w:val="21"/>
        </w:rPr>
        <w:t>Temple Collaborative on Community Inclusion</w:t>
      </w:r>
      <w:r w:rsidR="00670CB9" w:rsidRPr="00C85109">
        <w:rPr>
          <w:rFonts w:asciiTheme="minorHAnsi" w:hAnsiTheme="minorHAnsi" w:cstheme="minorHAnsi"/>
          <w:szCs w:val="21"/>
        </w:rPr>
        <w:t>.</w:t>
      </w:r>
      <w:r w:rsidRPr="00C85109">
        <w:rPr>
          <w:rFonts w:asciiTheme="minorHAnsi" w:hAnsiTheme="minorHAnsi" w:cstheme="minorHAnsi"/>
          <w:szCs w:val="21"/>
        </w:rPr>
        <w:t xml:space="preserve"> </w:t>
      </w:r>
      <w:r w:rsidR="003D563A" w:rsidRPr="00C85109">
        <w:rPr>
          <w:rFonts w:asciiTheme="minorHAnsi" w:hAnsiTheme="minorHAnsi" w:cstheme="minorHAnsi"/>
          <w:szCs w:val="21"/>
        </w:rPr>
        <w:t>http://tucollaborative.org/wp-content/uploads/2017/03/Instruction-Manual-for-Facilitating-Circles-of-Support-for-People-with-Mental-Illnesses-in-Supporting-Employment-Settings.pdf</w:t>
      </w:r>
    </w:p>
    <w:p w14:paraId="5FBA69AF" w14:textId="77777777" w:rsidR="0008399E" w:rsidRPr="00C85109" w:rsidRDefault="0008399E" w:rsidP="0008399E">
      <w:pPr>
        <w:snapToGrid w:val="0"/>
        <w:spacing w:before="0" w:after="120" w:line="276" w:lineRule="auto"/>
        <w:ind w:left="851" w:hanging="491"/>
        <w:rPr>
          <w:rFonts w:asciiTheme="minorHAnsi" w:hAnsiTheme="minorHAnsi" w:cstheme="minorHAnsi"/>
          <w:szCs w:val="21"/>
        </w:rPr>
      </w:pPr>
      <w:r w:rsidRPr="00C85109">
        <w:rPr>
          <w:rFonts w:asciiTheme="minorHAnsi" w:hAnsiTheme="minorHAnsi" w:cstheme="minorHAnsi"/>
          <w:szCs w:val="21"/>
        </w:rPr>
        <w:t xml:space="preserve">State of Victoria, Department of Education and Training. (2015). </w:t>
      </w:r>
      <w:r w:rsidRPr="00C85109">
        <w:rPr>
          <w:rFonts w:asciiTheme="minorHAnsi" w:hAnsiTheme="minorHAnsi" w:cstheme="minorHAnsi"/>
          <w:i/>
          <w:iCs/>
          <w:szCs w:val="21"/>
        </w:rPr>
        <w:t>On track survey 2015: The destinations of school leavers in Victoria. Statewide report</w:t>
      </w:r>
      <w:r w:rsidRPr="00C85109">
        <w:rPr>
          <w:rFonts w:asciiTheme="minorHAnsi" w:hAnsiTheme="minorHAnsi" w:cstheme="minorHAnsi"/>
          <w:szCs w:val="21"/>
        </w:rPr>
        <w:t>. https://www.education.vic.gov.au/Documents/about/research/OnTrack2015/2015%20On%20Track%20Statewide%20Report.docx</w:t>
      </w:r>
    </w:p>
    <w:p w14:paraId="6538A9B8" w14:textId="5BBACB14" w:rsidR="0008399E" w:rsidRPr="00C85109" w:rsidRDefault="0008399E" w:rsidP="004F1CD7">
      <w:pPr>
        <w:snapToGrid w:val="0"/>
        <w:spacing w:before="0" w:after="120" w:line="276" w:lineRule="auto"/>
        <w:ind w:left="851" w:hanging="491"/>
        <w:rPr>
          <w:rFonts w:asciiTheme="minorHAnsi" w:hAnsiTheme="minorHAnsi" w:cstheme="minorHAnsi"/>
          <w:szCs w:val="21"/>
        </w:rPr>
      </w:pPr>
      <w:r w:rsidRPr="00C85109">
        <w:rPr>
          <w:rFonts w:asciiTheme="minorHAnsi" w:hAnsiTheme="minorHAnsi" w:cstheme="minorHAnsi"/>
          <w:szCs w:val="21"/>
        </w:rPr>
        <w:t xml:space="preserve">State of Victoria, Department of Education and Training. (2018). </w:t>
      </w:r>
      <w:r w:rsidRPr="00C85109">
        <w:rPr>
          <w:rFonts w:asciiTheme="minorHAnsi" w:hAnsiTheme="minorHAnsi" w:cstheme="minorHAnsi"/>
          <w:i/>
          <w:iCs/>
          <w:szCs w:val="21"/>
        </w:rPr>
        <w:t>Snapshot. On track 2018: Destinations of Victorian school leavers.</w:t>
      </w:r>
      <w:r w:rsidRPr="00C85109">
        <w:rPr>
          <w:rFonts w:asciiTheme="minorHAnsi" w:hAnsiTheme="minorHAnsi" w:cstheme="minorHAnsi"/>
          <w:szCs w:val="21"/>
        </w:rPr>
        <w:t xml:space="preserve"> https://www.education.vic.gov.au/Documents/about/research/OnTrack2018/snapshot-ontrack-2018.pdf</w:t>
      </w:r>
    </w:p>
    <w:p w14:paraId="129C8843" w14:textId="77777777" w:rsidR="00092E3E" w:rsidRPr="00C85109" w:rsidRDefault="00092E3E" w:rsidP="00092E3E">
      <w:pPr>
        <w:pStyle w:val="EndNoteBibliography"/>
        <w:spacing w:after="120" w:line="276" w:lineRule="auto"/>
        <w:ind w:left="851" w:hanging="491"/>
        <w:rPr>
          <w:rStyle w:val="Hyperlink"/>
          <w:rFonts w:asciiTheme="minorHAnsi" w:eastAsiaTheme="minorHAnsi" w:hAnsiTheme="minorHAnsi" w:cstheme="minorHAnsi"/>
          <w:noProof w:val="0"/>
          <w:color w:val="auto"/>
          <w:sz w:val="21"/>
          <w:szCs w:val="21"/>
          <w:u w:val="none"/>
          <w:lang w:eastAsia="en-US"/>
        </w:rPr>
      </w:pPr>
      <w:proofErr w:type="spellStart"/>
      <w:r w:rsidRPr="00C85109">
        <w:rPr>
          <w:rStyle w:val="Hyperlink"/>
          <w:rFonts w:asciiTheme="minorHAnsi" w:eastAsiaTheme="minorHAnsi" w:hAnsiTheme="minorHAnsi" w:cstheme="minorHAnsi"/>
          <w:noProof w:val="0"/>
          <w:color w:val="auto"/>
          <w:sz w:val="21"/>
          <w:szCs w:val="21"/>
          <w:u w:val="none"/>
          <w:lang w:eastAsia="en-US"/>
        </w:rPr>
        <w:lastRenderedPageBreak/>
        <w:t>Szoc</w:t>
      </w:r>
      <w:proofErr w:type="spellEnd"/>
      <w:r w:rsidRPr="00C85109">
        <w:rPr>
          <w:rStyle w:val="Hyperlink"/>
          <w:rFonts w:asciiTheme="minorHAnsi" w:eastAsiaTheme="minorHAnsi" w:hAnsiTheme="minorHAnsi" w:cstheme="minorHAnsi"/>
          <w:noProof w:val="0"/>
          <w:color w:val="auto"/>
          <w:sz w:val="21"/>
          <w:szCs w:val="21"/>
          <w:u w:val="none"/>
          <w:lang w:eastAsia="en-US"/>
        </w:rPr>
        <w:t xml:space="preserve">, R., Harvey, J. (2009). </w:t>
      </w:r>
      <w:r w:rsidRPr="00C85109">
        <w:rPr>
          <w:rStyle w:val="Hyperlink"/>
          <w:rFonts w:asciiTheme="minorHAnsi" w:eastAsiaTheme="minorHAnsi" w:hAnsiTheme="minorHAnsi" w:cstheme="minorHAnsi"/>
          <w:i/>
          <w:iCs/>
          <w:noProof w:val="0"/>
          <w:color w:val="auto"/>
          <w:sz w:val="21"/>
          <w:szCs w:val="21"/>
          <w:u w:val="none"/>
          <w:lang w:eastAsia="en-US"/>
        </w:rPr>
        <w:t>Customized employment competency model</w:t>
      </w:r>
      <w:r w:rsidRPr="00C85109">
        <w:rPr>
          <w:rStyle w:val="Hyperlink"/>
          <w:rFonts w:asciiTheme="minorHAnsi" w:eastAsiaTheme="minorHAnsi" w:hAnsiTheme="minorHAnsi" w:cstheme="minorHAnsi"/>
          <w:noProof w:val="0"/>
          <w:color w:val="auto"/>
          <w:sz w:val="21"/>
          <w:szCs w:val="21"/>
          <w:u w:val="none"/>
          <w:lang w:eastAsia="en-US"/>
        </w:rPr>
        <w:t xml:space="preserve">. ICF International. </w:t>
      </w:r>
      <w:hyperlink r:id="rId44" w:history="1">
        <w:r w:rsidRPr="00C85109">
          <w:rPr>
            <w:rStyle w:val="Hyperlink"/>
            <w:rFonts w:asciiTheme="minorHAnsi" w:hAnsiTheme="minorHAnsi" w:cstheme="minorHAnsi"/>
            <w:color w:val="auto"/>
            <w:sz w:val="21"/>
            <w:szCs w:val="21"/>
            <w:u w:val="none"/>
          </w:rPr>
          <w:t>https://www.dol.gov/odep/pdf/2011cecm.pdf</w:t>
        </w:r>
      </w:hyperlink>
    </w:p>
    <w:p w14:paraId="1333DFEF" w14:textId="3382C341" w:rsidR="00E35816" w:rsidRPr="00C85109" w:rsidRDefault="00E35816" w:rsidP="00CE427B">
      <w:pPr>
        <w:pStyle w:val="EndNoteBibliography"/>
        <w:spacing w:after="120" w:line="276" w:lineRule="auto"/>
        <w:ind w:left="851" w:hanging="491"/>
        <w:rPr>
          <w:rFonts w:asciiTheme="minorHAnsi" w:hAnsiTheme="minorHAnsi" w:cstheme="minorHAnsi"/>
          <w:sz w:val="21"/>
          <w:szCs w:val="21"/>
        </w:rPr>
      </w:pPr>
      <w:r w:rsidRPr="00C85109">
        <w:rPr>
          <w:rFonts w:asciiTheme="minorHAnsi" w:hAnsiTheme="minorHAnsi" w:cstheme="minorHAnsi"/>
          <w:sz w:val="21"/>
          <w:szCs w:val="21"/>
        </w:rPr>
        <w:t xml:space="preserve">Taylor, D. L., Morgan, R. L., &amp; Callow-Heusser, C. A. (2016). A survey of vocational rehabilitation counselors and special education teachers on collaboration in transition planning. </w:t>
      </w:r>
      <w:r w:rsidRPr="00C85109">
        <w:rPr>
          <w:rFonts w:asciiTheme="minorHAnsi" w:hAnsiTheme="minorHAnsi" w:cstheme="minorHAnsi"/>
          <w:i/>
          <w:sz w:val="21"/>
          <w:szCs w:val="21"/>
        </w:rPr>
        <w:t>Journal of Vocational Rehabilitation, 44</w:t>
      </w:r>
      <w:r w:rsidRPr="00C85109">
        <w:rPr>
          <w:rFonts w:asciiTheme="minorHAnsi" w:hAnsiTheme="minorHAnsi" w:cstheme="minorHAnsi"/>
          <w:sz w:val="21"/>
          <w:szCs w:val="21"/>
        </w:rPr>
        <w:t xml:space="preserve">(2), 163-173. </w:t>
      </w:r>
      <w:r w:rsidR="00E52389" w:rsidRPr="00C85109">
        <w:rPr>
          <w:rFonts w:asciiTheme="minorHAnsi" w:hAnsiTheme="minorHAnsi" w:cstheme="minorHAnsi"/>
          <w:sz w:val="21"/>
          <w:szCs w:val="21"/>
        </w:rPr>
        <w:t>https://doi.org/10.3233/JVR-150788</w:t>
      </w:r>
    </w:p>
    <w:p w14:paraId="724288E6" w14:textId="2B3ECDDB" w:rsidR="00E35816" w:rsidRPr="00C85109" w:rsidRDefault="00E35816" w:rsidP="00CE427B">
      <w:pPr>
        <w:spacing w:before="0" w:after="120" w:line="276" w:lineRule="auto"/>
        <w:ind w:left="851" w:hanging="491"/>
        <w:rPr>
          <w:rFonts w:asciiTheme="minorHAnsi" w:hAnsiTheme="minorHAnsi" w:cstheme="minorHAnsi"/>
          <w:szCs w:val="21"/>
        </w:rPr>
      </w:pPr>
      <w:r w:rsidRPr="00C85109">
        <w:rPr>
          <w:rFonts w:asciiTheme="minorHAnsi" w:hAnsiTheme="minorHAnsi" w:cstheme="minorHAnsi"/>
          <w:szCs w:val="21"/>
        </w:rPr>
        <w:t>Test, D.</w:t>
      </w:r>
      <w:r w:rsidR="003C4F7D" w:rsidRPr="00C85109">
        <w:rPr>
          <w:rFonts w:asciiTheme="minorHAnsi" w:hAnsiTheme="minorHAnsi" w:cstheme="minorHAnsi"/>
          <w:szCs w:val="21"/>
        </w:rPr>
        <w:t xml:space="preserve"> W.</w:t>
      </w:r>
      <w:r w:rsidRPr="00C85109">
        <w:rPr>
          <w:rFonts w:asciiTheme="minorHAnsi" w:hAnsiTheme="minorHAnsi" w:cstheme="minorHAnsi"/>
          <w:szCs w:val="21"/>
        </w:rPr>
        <w:t xml:space="preserve">, </w:t>
      </w:r>
      <w:proofErr w:type="spellStart"/>
      <w:r w:rsidRPr="00C85109">
        <w:rPr>
          <w:rFonts w:asciiTheme="minorHAnsi" w:hAnsiTheme="minorHAnsi" w:cstheme="minorHAnsi"/>
          <w:szCs w:val="21"/>
        </w:rPr>
        <w:t>Mazzotti</w:t>
      </w:r>
      <w:proofErr w:type="spellEnd"/>
      <w:r w:rsidRPr="00C85109">
        <w:rPr>
          <w:rFonts w:asciiTheme="minorHAnsi" w:hAnsiTheme="minorHAnsi" w:cstheme="minorHAnsi"/>
          <w:szCs w:val="21"/>
        </w:rPr>
        <w:t>, V.</w:t>
      </w:r>
      <w:r w:rsidR="00025834" w:rsidRPr="00C85109">
        <w:rPr>
          <w:rFonts w:asciiTheme="minorHAnsi" w:hAnsiTheme="minorHAnsi" w:cstheme="minorHAnsi"/>
          <w:szCs w:val="21"/>
        </w:rPr>
        <w:t xml:space="preserve"> L.</w:t>
      </w:r>
      <w:r w:rsidRPr="00C85109">
        <w:rPr>
          <w:rFonts w:asciiTheme="minorHAnsi" w:hAnsiTheme="minorHAnsi" w:cstheme="minorHAnsi"/>
          <w:szCs w:val="21"/>
        </w:rPr>
        <w:t xml:space="preserve">, </w:t>
      </w:r>
      <w:proofErr w:type="spellStart"/>
      <w:r w:rsidRPr="00C85109">
        <w:rPr>
          <w:rFonts w:asciiTheme="minorHAnsi" w:hAnsiTheme="minorHAnsi" w:cstheme="minorHAnsi"/>
          <w:szCs w:val="21"/>
        </w:rPr>
        <w:t>Mustian</w:t>
      </w:r>
      <w:proofErr w:type="spellEnd"/>
      <w:r w:rsidRPr="00C85109">
        <w:rPr>
          <w:rFonts w:asciiTheme="minorHAnsi" w:hAnsiTheme="minorHAnsi" w:cstheme="minorHAnsi"/>
          <w:szCs w:val="21"/>
        </w:rPr>
        <w:t>, A.</w:t>
      </w:r>
      <w:r w:rsidR="00A96AF7" w:rsidRPr="00C85109">
        <w:rPr>
          <w:rFonts w:asciiTheme="minorHAnsi" w:hAnsiTheme="minorHAnsi" w:cstheme="minorHAnsi"/>
          <w:szCs w:val="21"/>
        </w:rPr>
        <w:t xml:space="preserve"> L.</w:t>
      </w:r>
      <w:r w:rsidRPr="00C85109">
        <w:rPr>
          <w:rFonts w:asciiTheme="minorHAnsi" w:hAnsiTheme="minorHAnsi" w:cstheme="minorHAnsi"/>
          <w:szCs w:val="21"/>
        </w:rPr>
        <w:t>, Fowler, C.</w:t>
      </w:r>
      <w:r w:rsidR="00E2213E" w:rsidRPr="00C85109">
        <w:rPr>
          <w:rFonts w:asciiTheme="minorHAnsi" w:hAnsiTheme="minorHAnsi" w:cstheme="minorHAnsi"/>
          <w:szCs w:val="21"/>
        </w:rPr>
        <w:t xml:space="preserve"> H.</w:t>
      </w:r>
      <w:r w:rsidRPr="00C85109">
        <w:rPr>
          <w:rFonts w:asciiTheme="minorHAnsi" w:hAnsiTheme="minorHAnsi" w:cstheme="minorHAnsi"/>
          <w:szCs w:val="21"/>
        </w:rPr>
        <w:t xml:space="preserve">, </w:t>
      </w:r>
      <w:proofErr w:type="spellStart"/>
      <w:r w:rsidRPr="00C85109">
        <w:rPr>
          <w:rFonts w:asciiTheme="minorHAnsi" w:hAnsiTheme="minorHAnsi" w:cstheme="minorHAnsi"/>
          <w:szCs w:val="21"/>
        </w:rPr>
        <w:t>Kortering</w:t>
      </w:r>
      <w:proofErr w:type="spellEnd"/>
      <w:r w:rsidRPr="00C85109">
        <w:rPr>
          <w:rFonts w:asciiTheme="minorHAnsi" w:hAnsiTheme="minorHAnsi" w:cstheme="minorHAnsi"/>
          <w:szCs w:val="21"/>
        </w:rPr>
        <w:t xml:space="preserve">, L., &amp; Kohler, P. (2009). Evidence-based secondary transition predictors for improving postschool outcomes for students with disabilities. </w:t>
      </w:r>
      <w:r w:rsidRPr="00C85109">
        <w:rPr>
          <w:rFonts w:asciiTheme="minorHAnsi" w:hAnsiTheme="minorHAnsi" w:cstheme="minorHAnsi"/>
          <w:i/>
          <w:iCs/>
          <w:szCs w:val="21"/>
        </w:rPr>
        <w:t xml:space="preserve">Career Development </w:t>
      </w:r>
      <w:r w:rsidR="00A537CB" w:rsidRPr="00C85109">
        <w:rPr>
          <w:rFonts w:asciiTheme="minorHAnsi" w:hAnsiTheme="minorHAnsi" w:cstheme="minorHAnsi"/>
          <w:i/>
          <w:szCs w:val="21"/>
        </w:rPr>
        <w:t xml:space="preserve">and Transition </w:t>
      </w:r>
      <w:r w:rsidRPr="00C85109">
        <w:rPr>
          <w:rFonts w:asciiTheme="minorHAnsi" w:hAnsiTheme="minorHAnsi" w:cstheme="minorHAnsi"/>
          <w:i/>
          <w:iCs/>
          <w:szCs w:val="21"/>
        </w:rPr>
        <w:t>for Exceptional Individuals</w:t>
      </w:r>
      <w:r w:rsidRPr="00C85109">
        <w:rPr>
          <w:rFonts w:asciiTheme="minorHAnsi" w:hAnsiTheme="minorHAnsi" w:cstheme="minorHAnsi"/>
          <w:szCs w:val="21"/>
        </w:rPr>
        <w:t xml:space="preserve">, </w:t>
      </w:r>
      <w:r w:rsidRPr="00C85109">
        <w:rPr>
          <w:rFonts w:asciiTheme="minorHAnsi" w:hAnsiTheme="minorHAnsi" w:cstheme="minorHAnsi"/>
          <w:i/>
          <w:iCs/>
          <w:szCs w:val="21"/>
        </w:rPr>
        <w:t>32</w:t>
      </w:r>
      <w:r w:rsidR="0003230F" w:rsidRPr="00C85109">
        <w:rPr>
          <w:rFonts w:asciiTheme="minorHAnsi" w:hAnsiTheme="minorHAnsi" w:cstheme="minorHAnsi"/>
          <w:szCs w:val="21"/>
        </w:rPr>
        <w:t>(3)</w:t>
      </w:r>
      <w:r w:rsidRPr="00C85109">
        <w:rPr>
          <w:rFonts w:asciiTheme="minorHAnsi" w:hAnsiTheme="minorHAnsi" w:cstheme="minorHAnsi"/>
          <w:szCs w:val="21"/>
        </w:rPr>
        <w:t xml:space="preserve">, 160-181. </w:t>
      </w:r>
      <w:r w:rsidR="0003230F" w:rsidRPr="00C85109">
        <w:rPr>
          <w:rFonts w:asciiTheme="minorHAnsi" w:hAnsiTheme="minorHAnsi" w:cstheme="minorHAnsi"/>
          <w:szCs w:val="21"/>
        </w:rPr>
        <w:t>https://doi.org/10.1177/0885728809346960</w:t>
      </w:r>
    </w:p>
    <w:p w14:paraId="02C8553F" w14:textId="77777777" w:rsidR="00AB2647" w:rsidRPr="00C85109" w:rsidRDefault="00AB2647" w:rsidP="00AB2647">
      <w:pPr>
        <w:spacing w:before="0" w:after="120" w:line="276" w:lineRule="auto"/>
        <w:ind w:left="851" w:hanging="491"/>
        <w:rPr>
          <w:rFonts w:asciiTheme="minorHAnsi" w:hAnsiTheme="minorHAnsi" w:cstheme="minorHAnsi"/>
          <w:szCs w:val="21"/>
        </w:rPr>
      </w:pPr>
      <w:bookmarkStart w:id="215" w:name="_Hlk41241091"/>
      <w:proofErr w:type="spellStart"/>
      <w:r w:rsidRPr="00FD4080">
        <w:rPr>
          <w:rFonts w:asciiTheme="minorHAnsi" w:hAnsiTheme="minorHAnsi" w:cstheme="minorHAnsi"/>
          <w:szCs w:val="21"/>
        </w:rPr>
        <w:t>Thoma</w:t>
      </w:r>
      <w:proofErr w:type="spellEnd"/>
      <w:r w:rsidRPr="00FD4080">
        <w:rPr>
          <w:rFonts w:asciiTheme="minorHAnsi" w:hAnsiTheme="minorHAnsi" w:cstheme="minorHAnsi"/>
          <w:szCs w:val="21"/>
        </w:rPr>
        <w:t xml:space="preserve">, C. A., Lakin, K. C., Carlson, D., </w:t>
      </w:r>
      <w:proofErr w:type="spellStart"/>
      <w:r w:rsidRPr="00FD4080">
        <w:rPr>
          <w:rFonts w:asciiTheme="minorHAnsi" w:hAnsiTheme="minorHAnsi" w:cstheme="minorHAnsi"/>
          <w:szCs w:val="21"/>
        </w:rPr>
        <w:t>Domzal</w:t>
      </w:r>
      <w:proofErr w:type="spellEnd"/>
      <w:r w:rsidRPr="00FD4080">
        <w:rPr>
          <w:rFonts w:asciiTheme="minorHAnsi" w:hAnsiTheme="minorHAnsi" w:cstheme="minorHAnsi"/>
          <w:szCs w:val="21"/>
        </w:rPr>
        <w:t xml:space="preserve">, C., Austin, K., &amp; Boyd, K. (2011). Participation in postsecondary education for students with intellectual disabilities: A review of the literature 2001–2010. </w:t>
      </w:r>
      <w:r w:rsidRPr="001F6371">
        <w:rPr>
          <w:rFonts w:asciiTheme="minorHAnsi" w:hAnsiTheme="minorHAnsi" w:cstheme="minorHAnsi"/>
          <w:i/>
          <w:szCs w:val="21"/>
        </w:rPr>
        <w:t>Journal of Postsecondary Education and Disability</w:t>
      </w:r>
      <w:r w:rsidRPr="00FD4080">
        <w:rPr>
          <w:rFonts w:asciiTheme="minorHAnsi" w:hAnsiTheme="minorHAnsi" w:cstheme="minorHAnsi"/>
          <w:szCs w:val="21"/>
        </w:rPr>
        <w:t xml:space="preserve">, </w:t>
      </w:r>
      <w:r w:rsidRPr="001F6371">
        <w:rPr>
          <w:rFonts w:asciiTheme="minorHAnsi" w:hAnsiTheme="minorHAnsi" w:cstheme="minorHAnsi"/>
          <w:i/>
          <w:szCs w:val="21"/>
        </w:rPr>
        <w:t>24</w:t>
      </w:r>
      <w:r w:rsidRPr="00FD4080">
        <w:rPr>
          <w:rFonts w:asciiTheme="minorHAnsi" w:hAnsiTheme="minorHAnsi" w:cstheme="minorHAnsi"/>
          <w:szCs w:val="21"/>
        </w:rPr>
        <w:t>, 175–191.</w:t>
      </w:r>
    </w:p>
    <w:p w14:paraId="4F9516D1" w14:textId="73885B99" w:rsidR="00E35816" w:rsidRPr="00C85109" w:rsidRDefault="00E35816" w:rsidP="00CE427B">
      <w:pPr>
        <w:spacing w:before="0" w:after="120" w:line="276" w:lineRule="auto"/>
        <w:ind w:left="851" w:hanging="491"/>
        <w:rPr>
          <w:rFonts w:asciiTheme="minorHAnsi" w:hAnsiTheme="minorHAnsi" w:cstheme="minorHAnsi"/>
          <w:szCs w:val="21"/>
        </w:rPr>
      </w:pPr>
      <w:proofErr w:type="spellStart"/>
      <w:r w:rsidRPr="00C85109">
        <w:rPr>
          <w:rFonts w:asciiTheme="minorHAnsi" w:hAnsiTheme="minorHAnsi" w:cstheme="minorHAnsi"/>
          <w:szCs w:val="21"/>
        </w:rPr>
        <w:t>Thoresen</w:t>
      </w:r>
      <w:proofErr w:type="spellEnd"/>
      <w:r w:rsidRPr="00C85109">
        <w:rPr>
          <w:rFonts w:asciiTheme="minorHAnsi" w:hAnsiTheme="minorHAnsi" w:cstheme="minorHAnsi"/>
          <w:szCs w:val="21"/>
        </w:rPr>
        <w:t xml:space="preserve">, S. H., Thomson, A., Jackson, R., &amp; Cocks, E. (2018). Meaningful social and economic inclusion through small business enterprise models of employment for adults with intellectual disability. </w:t>
      </w:r>
      <w:r w:rsidRPr="00C85109">
        <w:rPr>
          <w:rFonts w:asciiTheme="minorHAnsi" w:hAnsiTheme="minorHAnsi" w:cstheme="minorHAnsi"/>
          <w:i/>
          <w:iCs/>
          <w:szCs w:val="21"/>
        </w:rPr>
        <w:t>Journal of Vocational Rehabilitation, 49</w:t>
      </w:r>
      <w:r w:rsidR="00C3317A" w:rsidRPr="00C85109">
        <w:rPr>
          <w:rFonts w:asciiTheme="minorHAnsi" w:hAnsiTheme="minorHAnsi" w:cstheme="minorHAnsi"/>
          <w:szCs w:val="21"/>
        </w:rPr>
        <w:t>(2)</w:t>
      </w:r>
      <w:r w:rsidRPr="00C85109">
        <w:rPr>
          <w:rFonts w:asciiTheme="minorHAnsi" w:hAnsiTheme="minorHAnsi" w:cstheme="minorHAnsi"/>
          <w:szCs w:val="21"/>
        </w:rPr>
        <w:t xml:space="preserve">, 161-172. </w:t>
      </w:r>
      <w:r w:rsidR="008C0385" w:rsidRPr="00C85109">
        <w:rPr>
          <w:rFonts w:asciiTheme="minorHAnsi" w:hAnsiTheme="minorHAnsi" w:cstheme="minorHAnsi"/>
          <w:szCs w:val="21"/>
        </w:rPr>
        <w:t>https://doi.org/10.3233/JVR-180962</w:t>
      </w:r>
    </w:p>
    <w:p w14:paraId="25991E61" w14:textId="74FA00B6" w:rsidR="00E35816" w:rsidRPr="00C85109" w:rsidRDefault="00E35816" w:rsidP="00CE427B">
      <w:pPr>
        <w:spacing w:before="0" w:after="120" w:line="276" w:lineRule="auto"/>
        <w:ind w:left="851" w:hanging="491"/>
        <w:rPr>
          <w:rFonts w:asciiTheme="minorHAnsi" w:hAnsiTheme="minorHAnsi" w:cstheme="minorHAnsi"/>
          <w:szCs w:val="21"/>
        </w:rPr>
      </w:pPr>
      <w:proofErr w:type="spellStart"/>
      <w:r w:rsidRPr="00C85109">
        <w:rPr>
          <w:rFonts w:asciiTheme="minorHAnsi" w:hAnsiTheme="minorHAnsi" w:cstheme="minorHAnsi"/>
          <w:szCs w:val="21"/>
        </w:rPr>
        <w:t>Uditsky</w:t>
      </w:r>
      <w:proofErr w:type="spellEnd"/>
      <w:r w:rsidRPr="00C85109">
        <w:rPr>
          <w:rFonts w:asciiTheme="minorHAnsi" w:hAnsiTheme="minorHAnsi" w:cstheme="minorHAnsi"/>
          <w:szCs w:val="21"/>
        </w:rPr>
        <w:t xml:space="preserve">, B., &amp; Hughson, E. A. (2008). </w:t>
      </w:r>
      <w:r w:rsidRPr="00C85109">
        <w:rPr>
          <w:rFonts w:asciiTheme="minorHAnsi" w:hAnsiTheme="minorHAnsi" w:cstheme="minorHAnsi"/>
          <w:i/>
          <w:iCs/>
          <w:szCs w:val="21"/>
        </w:rPr>
        <w:t>Inclusive post-secondary education for adults with developmental disabilities: A promising path to an inclusive life</w:t>
      </w:r>
      <w:r w:rsidRPr="00C85109">
        <w:rPr>
          <w:rFonts w:asciiTheme="minorHAnsi" w:hAnsiTheme="minorHAnsi" w:cstheme="minorHAnsi"/>
          <w:szCs w:val="21"/>
        </w:rPr>
        <w:t>. Alberta Association for Community Living</w:t>
      </w:r>
      <w:r w:rsidR="00A969A1" w:rsidRPr="00C85109">
        <w:rPr>
          <w:rFonts w:asciiTheme="minorHAnsi" w:hAnsiTheme="minorHAnsi" w:cstheme="minorHAnsi"/>
          <w:szCs w:val="21"/>
        </w:rPr>
        <w:t xml:space="preserve">. </w:t>
      </w:r>
    </w:p>
    <w:p w14:paraId="7E2F2987" w14:textId="2E779594" w:rsidR="00E35816" w:rsidRPr="00C85109" w:rsidRDefault="00E35816" w:rsidP="00CE427B">
      <w:pPr>
        <w:spacing w:before="0" w:after="120" w:line="276" w:lineRule="auto"/>
        <w:ind w:left="851" w:hanging="491"/>
        <w:rPr>
          <w:rFonts w:asciiTheme="minorHAnsi" w:hAnsiTheme="minorHAnsi" w:cstheme="minorHAnsi"/>
          <w:szCs w:val="21"/>
        </w:rPr>
      </w:pPr>
      <w:proofErr w:type="spellStart"/>
      <w:r w:rsidRPr="00C85109">
        <w:rPr>
          <w:rFonts w:asciiTheme="minorHAnsi" w:hAnsiTheme="minorHAnsi" w:cstheme="minorHAnsi"/>
          <w:szCs w:val="21"/>
        </w:rPr>
        <w:t>Uditsky</w:t>
      </w:r>
      <w:proofErr w:type="spellEnd"/>
      <w:r w:rsidRPr="00C85109">
        <w:rPr>
          <w:rFonts w:asciiTheme="minorHAnsi" w:hAnsiTheme="minorHAnsi" w:cstheme="minorHAnsi"/>
          <w:szCs w:val="21"/>
        </w:rPr>
        <w:t>, B.</w:t>
      </w:r>
      <w:r w:rsidR="00F01CF2" w:rsidRPr="00C85109">
        <w:rPr>
          <w:rFonts w:asciiTheme="minorHAnsi" w:hAnsiTheme="minorHAnsi" w:cstheme="minorHAnsi"/>
          <w:szCs w:val="21"/>
        </w:rPr>
        <w:t>,</w:t>
      </w:r>
      <w:r w:rsidRPr="00C85109">
        <w:rPr>
          <w:rFonts w:asciiTheme="minorHAnsi" w:hAnsiTheme="minorHAnsi" w:cstheme="minorHAnsi"/>
          <w:szCs w:val="21"/>
        </w:rPr>
        <w:t xml:space="preserve"> &amp; Hughson, E. A. (2012). Inclusive </w:t>
      </w:r>
      <w:r w:rsidR="00123FC7" w:rsidRPr="00C85109">
        <w:rPr>
          <w:rFonts w:asciiTheme="minorHAnsi" w:hAnsiTheme="minorHAnsi" w:cstheme="minorHAnsi"/>
          <w:szCs w:val="21"/>
        </w:rPr>
        <w:t>postsecondary education—an evidence-based moral imperat</w:t>
      </w:r>
      <w:r w:rsidRPr="00C85109">
        <w:rPr>
          <w:rFonts w:asciiTheme="minorHAnsi" w:hAnsiTheme="minorHAnsi" w:cstheme="minorHAnsi"/>
          <w:szCs w:val="21"/>
        </w:rPr>
        <w:t>ive</w:t>
      </w:r>
      <w:r w:rsidR="00123FC7" w:rsidRPr="00C85109">
        <w:rPr>
          <w:rFonts w:asciiTheme="minorHAnsi" w:hAnsiTheme="minorHAnsi" w:cstheme="minorHAnsi"/>
          <w:szCs w:val="21"/>
        </w:rPr>
        <w:t>.</w:t>
      </w:r>
      <w:r w:rsidRPr="00C85109">
        <w:rPr>
          <w:rFonts w:asciiTheme="minorHAnsi" w:hAnsiTheme="minorHAnsi" w:cstheme="minorHAnsi"/>
          <w:szCs w:val="21"/>
        </w:rPr>
        <w:t xml:space="preserve"> </w:t>
      </w:r>
      <w:r w:rsidRPr="00C85109">
        <w:rPr>
          <w:rFonts w:asciiTheme="minorHAnsi" w:hAnsiTheme="minorHAnsi" w:cstheme="minorHAnsi"/>
          <w:i/>
          <w:iCs/>
          <w:szCs w:val="21"/>
        </w:rPr>
        <w:t>Journal of Policy and Practice in Intellectual Disabilities</w:t>
      </w:r>
      <w:r w:rsidRPr="00C85109">
        <w:rPr>
          <w:rFonts w:asciiTheme="minorHAnsi" w:hAnsiTheme="minorHAnsi" w:cstheme="minorHAnsi"/>
          <w:szCs w:val="21"/>
        </w:rPr>
        <w:t xml:space="preserve">, </w:t>
      </w:r>
      <w:r w:rsidRPr="00C85109">
        <w:rPr>
          <w:rFonts w:asciiTheme="minorHAnsi" w:hAnsiTheme="minorHAnsi" w:cstheme="minorHAnsi"/>
          <w:i/>
          <w:iCs/>
          <w:szCs w:val="21"/>
        </w:rPr>
        <w:t>9</w:t>
      </w:r>
      <w:r w:rsidR="00123FC7" w:rsidRPr="00C85109">
        <w:rPr>
          <w:rFonts w:asciiTheme="minorHAnsi" w:hAnsiTheme="minorHAnsi" w:cstheme="minorHAnsi"/>
          <w:szCs w:val="21"/>
        </w:rPr>
        <w:t>(</w:t>
      </w:r>
      <w:r w:rsidRPr="00C85109">
        <w:rPr>
          <w:rFonts w:asciiTheme="minorHAnsi" w:hAnsiTheme="minorHAnsi" w:cstheme="minorHAnsi"/>
          <w:szCs w:val="21"/>
        </w:rPr>
        <w:t>4</w:t>
      </w:r>
      <w:r w:rsidR="00123FC7" w:rsidRPr="00C85109">
        <w:rPr>
          <w:rFonts w:asciiTheme="minorHAnsi" w:hAnsiTheme="minorHAnsi" w:cstheme="minorHAnsi"/>
          <w:szCs w:val="21"/>
        </w:rPr>
        <w:t>),</w:t>
      </w:r>
      <w:r w:rsidRPr="00C85109">
        <w:rPr>
          <w:rFonts w:asciiTheme="minorHAnsi" w:hAnsiTheme="minorHAnsi" w:cstheme="minorHAnsi"/>
          <w:szCs w:val="21"/>
        </w:rPr>
        <w:t xml:space="preserve"> 298</w:t>
      </w:r>
      <w:r w:rsidR="00123FC7" w:rsidRPr="00C85109">
        <w:rPr>
          <w:rFonts w:asciiTheme="minorHAnsi" w:hAnsiTheme="minorHAnsi" w:cstheme="minorHAnsi"/>
          <w:szCs w:val="21"/>
        </w:rPr>
        <w:t>-</w:t>
      </w:r>
      <w:r w:rsidRPr="00C85109">
        <w:rPr>
          <w:rFonts w:asciiTheme="minorHAnsi" w:hAnsiTheme="minorHAnsi" w:cstheme="minorHAnsi"/>
          <w:szCs w:val="21"/>
        </w:rPr>
        <w:t xml:space="preserve">302. </w:t>
      </w:r>
      <w:r w:rsidR="004A39F4" w:rsidRPr="00C85109">
        <w:rPr>
          <w:rFonts w:asciiTheme="minorHAnsi" w:hAnsiTheme="minorHAnsi" w:cstheme="minorHAnsi"/>
          <w:szCs w:val="21"/>
        </w:rPr>
        <w:t>https://doi.org/10.1111/jppi.12005</w:t>
      </w:r>
    </w:p>
    <w:p w14:paraId="72592C62" w14:textId="536D3647" w:rsidR="00E35816" w:rsidRPr="00C85109" w:rsidRDefault="00E35816" w:rsidP="00CE427B">
      <w:pPr>
        <w:shd w:val="clear" w:color="auto" w:fill="FFFFFF"/>
        <w:spacing w:before="0" w:after="120" w:line="276" w:lineRule="auto"/>
        <w:ind w:left="851" w:hanging="491"/>
        <w:rPr>
          <w:rFonts w:asciiTheme="minorHAnsi" w:hAnsiTheme="minorHAnsi" w:cstheme="minorHAnsi"/>
          <w:szCs w:val="21"/>
          <w:lang w:val="en" w:eastAsia="en-AU"/>
        </w:rPr>
      </w:pPr>
      <w:bookmarkStart w:id="216" w:name="_Hlk41141128"/>
      <w:bookmarkStart w:id="217" w:name="_Hlk40694251"/>
      <w:bookmarkEnd w:id="215"/>
      <w:r w:rsidRPr="00C85109">
        <w:rPr>
          <w:rFonts w:asciiTheme="minorHAnsi" w:hAnsiTheme="minorHAnsi" w:cstheme="minorHAnsi"/>
          <w:szCs w:val="21"/>
        </w:rPr>
        <w:t>United Nations, Division for Social Policy and Development Disability</w:t>
      </w:r>
      <w:r w:rsidR="00D515F4" w:rsidRPr="00C85109">
        <w:rPr>
          <w:rFonts w:asciiTheme="minorHAnsi" w:hAnsiTheme="minorHAnsi" w:cstheme="minorHAnsi"/>
          <w:szCs w:val="21"/>
        </w:rPr>
        <w:t>.</w:t>
      </w:r>
      <w:r w:rsidRPr="00C85109">
        <w:rPr>
          <w:rFonts w:asciiTheme="minorHAnsi" w:hAnsiTheme="minorHAnsi" w:cstheme="minorHAnsi"/>
          <w:szCs w:val="21"/>
        </w:rPr>
        <w:t xml:space="preserve"> (2006)</w:t>
      </w:r>
      <w:r w:rsidR="00D515F4" w:rsidRPr="00C85109">
        <w:rPr>
          <w:rFonts w:asciiTheme="minorHAnsi" w:hAnsiTheme="minorHAnsi" w:cstheme="minorHAnsi"/>
          <w:szCs w:val="21"/>
        </w:rPr>
        <w:t>.</w:t>
      </w:r>
      <w:r w:rsidRPr="00C85109">
        <w:rPr>
          <w:rFonts w:asciiTheme="minorHAnsi" w:hAnsiTheme="minorHAnsi" w:cstheme="minorHAnsi"/>
          <w:szCs w:val="21"/>
        </w:rPr>
        <w:t xml:space="preserve"> </w:t>
      </w:r>
      <w:r w:rsidRPr="00C85109">
        <w:rPr>
          <w:rFonts w:asciiTheme="minorHAnsi" w:hAnsiTheme="minorHAnsi" w:cstheme="minorHAnsi"/>
          <w:i/>
          <w:iCs/>
          <w:szCs w:val="21"/>
        </w:rPr>
        <w:t>Convention on the Rights of Persons with Disabilities (CRPD).</w:t>
      </w:r>
      <w:r w:rsidRPr="00C85109">
        <w:rPr>
          <w:rFonts w:asciiTheme="minorHAnsi" w:hAnsiTheme="minorHAnsi" w:cstheme="minorHAnsi"/>
          <w:szCs w:val="21"/>
        </w:rPr>
        <w:t xml:space="preserve"> https://www.un.org/development/desa/disabilities/convention-on-the-rights-of-persons-with-disabilities.html</w:t>
      </w:r>
      <w:r w:rsidRPr="00C85109">
        <w:rPr>
          <w:rFonts w:asciiTheme="minorHAnsi" w:hAnsiTheme="minorHAnsi" w:cstheme="minorHAnsi"/>
          <w:szCs w:val="21"/>
          <w:lang w:val="en" w:eastAsia="en-AU"/>
        </w:rPr>
        <w:t xml:space="preserve"> </w:t>
      </w:r>
    </w:p>
    <w:bookmarkEnd w:id="216"/>
    <w:p w14:paraId="7D304391" w14:textId="1F1B0815" w:rsidR="00E35816" w:rsidRPr="00C85109" w:rsidRDefault="00E35816" w:rsidP="00CE427B">
      <w:pPr>
        <w:pStyle w:val="EndNoteBibliography"/>
        <w:spacing w:after="120" w:line="276" w:lineRule="auto"/>
        <w:ind w:left="851" w:hanging="491"/>
        <w:rPr>
          <w:rFonts w:asciiTheme="minorHAnsi" w:hAnsiTheme="minorHAnsi" w:cstheme="minorHAnsi"/>
          <w:sz w:val="21"/>
          <w:szCs w:val="21"/>
        </w:rPr>
      </w:pPr>
      <w:r w:rsidRPr="00C85109">
        <w:rPr>
          <w:rFonts w:asciiTheme="minorHAnsi" w:hAnsiTheme="minorHAnsi" w:cstheme="minorHAnsi"/>
          <w:sz w:val="21"/>
          <w:szCs w:val="21"/>
        </w:rPr>
        <w:t>Verdonschot, M. M. L., de Witte, L. P.</w:t>
      </w:r>
      <w:r w:rsidR="00D515F4" w:rsidRPr="00C85109">
        <w:rPr>
          <w:rFonts w:asciiTheme="minorHAnsi" w:hAnsiTheme="minorHAnsi" w:cstheme="minorHAnsi"/>
          <w:sz w:val="21"/>
          <w:szCs w:val="21"/>
        </w:rPr>
        <w:t>,</w:t>
      </w:r>
      <w:r w:rsidRPr="00C85109">
        <w:rPr>
          <w:rFonts w:asciiTheme="minorHAnsi" w:hAnsiTheme="minorHAnsi" w:cstheme="minorHAnsi"/>
          <w:sz w:val="21"/>
          <w:szCs w:val="21"/>
        </w:rPr>
        <w:t xml:space="preserve"> Reichrath, E.</w:t>
      </w:r>
      <w:r w:rsidR="00D515F4" w:rsidRPr="00C85109">
        <w:rPr>
          <w:rFonts w:asciiTheme="minorHAnsi" w:hAnsiTheme="minorHAnsi" w:cstheme="minorHAnsi"/>
          <w:sz w:val="21"/>
          <w:szCs w:val="21"/>
        </w:rPr>
        <w:t>,</w:t>
      </w:r>
      <w:r w:rsidRPr="00C85109">
        <w:rPr>
          <w:rFonts w:asciiTheme="minorHAnsi" w:hAnsiTheme="minorHAnsi" w:cstheme="minorHAnsi"/>
          <w:sz w:val="21"/>
          <w:szCs w:val="21"/>
        </w:rPr>
        <w:t xml:space="preserve"> Buntinx, W. H. E.</w:t>
      </w:r>
      <w:r w:rsidR="00D515F4" w:rsidRPr="00C85109">
        <w:rPr>
          <w:rFonts w:asciiTheme="minorHAnsi" w:hAnsiTheme="minorHAnsi" w:cstheme="minorHAnsi"/>
          <w:sz w:val="21"/>
          <w:szCs w:val="21"/>
        </w:rPr>
        <w:t>,</w:t>
      </w:r>
      <w:r w:rsidRPr="00C85109">
        <w:rPr>
          <w:rFonts w:asciiTheme="minorHAnsi" w:hAnsiTheme="minorHAnsi" w:cstheme="minorHAnsi"/>
          <w:sz w:val="21"/>
          <w:szCs w:val="21"/>
        </w:rPr>
        <w:t xml:space="preserve"> &amp; Curfs, L. M. G. (2009). Community participation of people with an intellectual disability: </w:t>
      </w:r>
      <w:r w:rsidR="00D515F4" w:rsidRPr="00C85109">
        <w:rPr>
          <w:rFonts w:asciiTheme="minorHAnsi" w:hAnsiTheme="minorHAnsi" w:cstheme="minorHAnsi"/>
          <w:sz w:val="21"/>
          <w:szCs w:val="21"/>
        </w:rPr>
        <w:t>A</w:t>
      </w:r>
      <w:r w:rsidRPr="00C85109">
        <w:rPr>
          <w:rFonts w:asciiTheme="minorHAnsi" w:hAnsiTheme="minorHAnsi" w:cstheme="minorHAnsi"/>
          <w:sz w:val="21"/>
          <w:szCs w:val="21"/>
        </w:rPr>
        <w:t xml:space="preserve"> review of empirical ﬁndings</w:t>
      </w:r>
      <w:r w:rsidR="00D515F4" w:rsidRPr="00C85109">
        <w:rPr>
          <w:rFonts w:asciiTheme="minorHAnsi" w:hAnsiTheme="minorHAnsi" w:cstheme="minorHAnsi"/>
          <w:sz w:val="21"/>
          <w:szCs w:val="21"/>
        </w:rPr>
        <w:t>.</w:t>
      </w:r>
      <w:r w:rsidRPr="00C85109">
        <w:rPr>
          <w:rFonts w:asciiTheme="minorHAnsi" w:hAnsiTheme="minorHAnsi" w:cstheme="minorHAnsi"/>
          <w:sz w:val="21"/>
          <w:szCs w:val="21"/>
        </w:rPr>
        <w:t xml:space="preserve"> </w:t>
      </w:r>
      <w:r w:rsidRPr="00C85109">
        <w:rPr>
          <w:rFonts w:asciiTheme="minorHAnsi" w:hAnsiTheme="minorHAnsi" w:cstheme="minorHAnsi"/>
          <w:i/>
          <w:iCs/>
          <w:sz w:val="21"/>
          <w:szCs w:val="21"/>
        </w:rPr>
        <w:t>Journal of Intellectual Disability Research</w:t>
      </w:r>
      <w:r w:rsidRPr="00C85109">
        <w:rPr>
          <w:rFonts w:asciiTheme="minorHAnsi" w:hAnsiTheme="minorHAnsi" w:cstheme="minorHAnsi"/>
          <w:sz w:val="21"/>
          <w:szCs w:val="21"/>
        </w:rPr>
        <w:t xml:space="preserve">, </w:t>
      </w:r>
      <w:r w:rsidRPr="00C85109">
        <w:rPr>
          <w:rFonts w:asciiTheme="minorHAnsi" w:hAnsiTheme="minorHAnsi" w:cstheme="minorHAnsi"/>
          <w:i/>
          <w:iCs/>
          <w:sz w:val="21"/>
          <w:szCs w:val="21"/>
        </w:rPr>
        <w:t>53</w:t>
      </w:r>
      <w:r w:rsidR="00D515F4" w:rsidRPr="00C85109">
        <w:rPr>
          <w:rFonts w:asciiTheme="minorHAnsi" w:hAnsiTheme="minorHAnsi" w:cstheme="minorHAnsi"/>
          <w:sz w:val="21"/>
          <w:szCs w:val="21"/>
        </w:rPr>
        <w:t>(</w:t>
      </w:r>
      <w:r w:rsidRPr="00C85109">
        <w:rPr>
          <w:rFonts w:asciiTheme="minorHAnsi" w:hAnsiTheme="minorHAnsi" w:cstheme="minorHAnsi"/>
          <w:sz w:val="21"/>
          <w:szCs w:val="21"/>
        </w:rPr>
        <w:t>4</w:t>
      </w:r>
      <w:r w:rsidR="00D515F4" w:rsidRPr="00C85109">
        <w:rPr>
          <w:rFonts w:asciiTheme="minorHAnsi" w:hAnsiTheme="minorHAnsi" w:cstheme="minorHAnsi"/>
          <w:sz w:val="21"/>
          <w:szCs w:val="21"/>
        </w:rPr>
        <w:t>),</w:t>
      </w:r>
      <w:r w:rsidRPr="00C85109">
        <w:rPr>
          <w:rFonts w:asciiTheme="minorHAnsi" w:hAnsiTheme="minorHAnsi" w:cstheme="minorHAnsi"/>
          <w:sz w:val="21"/>
          <w:szCs w:val="21"/>
        </w:rPr>
        <w:t xml:space="preserve"> 303-318.</w:t>
      </w:r>
      <w:r w:rsidR="00506106" w:rsidRPr="00C85109">
        <w:rPr>
          <w:rFonts w:asciiTheme="minorHAnsi" w:hAnsiTheme="minorHAnsi" w:cstheme="minorHAnsi"/>
          <w:sz w:val="21"/>
          <w:szCs w:val="21"/>
        </w:rPr>
        <w:t xml:space="preserve"> </w:t>
      </w:r>
      <w:r w:rsidR="0038516A" w:rsidRPr="00C85109">
        <w:rPr>
          <w:rFonts w:asciiTheme="minorHAnsi" w:hAnsiTheme="minorHAnsi" w:cstheme="minorHAnsi"/>
          <w:sz w:val="21"/>
          <w:szCs w:val="21"/>
        </w:rPr>
        <w:t>https://doi.org/10.1111/j.1365-2788.2008.01144.x</w:t>
      </w:r>
    </w:p>
    <w:p w14:paraId="3F9D1F71" w14:textId="0E40C403" w:rsidR="00E35816" w:rsidRPr="00C85109" w:rsidRDefault="00E35816" w:rsidP="00CE427B">
      <w:pPr>
        <w:shd w:val="clear" w:color="auto" w:fill="FFFFFF"/>
        <w:spacing w:before="0" w:after="120" w:line="276" w:lineRule="auto"/>
        <w:ind w:left="851" w:hanging="491"/>
        <w:rPr>
          <w:rFonts w:asciiTheme="minorHAnsi" w:hAnsiTheme="minorHAnsi" w:cstheme="minorHAnsi"/>
          <w:szCs w:val="21"/>
          <w:lang w:val="en" w:eastAsia="en-AU"/>
        </w:rPr>
      </w:pPr>
      <w:r w:rsidRPr="00C85109">
        <w:rPr>
          <w:rFonts w:asciiTheme="minorHAnsi" w:hAnsiTheme="minorHAnsi" w:cstheme="minorHAnsi"/>
          <w:szCs w:val="21"/>
          <w:lang w:val="en" w:eastAsia="en-AU"/>
        </w:rPr>
        <w:t>Victorian Equal Opportunity and Human Rights Commission</w:t>
      </w:r>
      <w:r w:rsidR="00D63B2A" w:rsidRPr="00C85109">
        <w:rPr>
          <w:rFonts w:asciiTheme="minorHAnsi" w:hAnsiTheme="minorHAnsi" w:cstheme="minorHAnsi"/>
          <w:szCs w:val="21"/>
          <w:lang w:val="en" w:eastAsia="en-AU"/>
        </w:rPr>
        <w:t>.</w:t>
      </w:r>
      <w:r w:rsidRPr="00C85109">
        <w:rPr>
          <w:rFonts w:asciiTheme="minorHAnsi" w:hAnsiTheme="minorHAnsi" w:cstheme="minorHAnsi"/>
          <w:szCs w:val="21"/>
          <w:lang w:val="en" w:eastAsia="en-AU"/>
        </w:rPr>
        <w:t xml:space="preserve"> (2012)</w:t>
      </w:r>
      <w:r w:rsidR="00395EE9" w:rsidRPr="00C85109">
        <w:rPr>
          <w:rFonts w:asciiTheme="minorHAnsi" w:hAnsiTheme="minorHAnsi" w:cstheme="minorHAnsi"/>
          <w:szCs w:val="21"/>
          <w:lang w:val="en" w:eastAsia="en-AU"/>
        </w:rPr>
        <w:t>.</w:t>
      </w:r>
      <w:r w:rsidRPr="00C85109">
        <w:rPr>
          <w:rFonts w:asciiTheme="minorHAnsi" w:hAnsiTheme="minorHAnsi" w:cstheme="minorHAnsi"/>
          <w:szCs w:val="21"/>
          <w:lang w:val="en" w:eastAsia="en-AU"/>
        </w:rPr>
        <w:t xml:space="preserve"> </w:t>
      </w:r>
      <w:r w:rsidRPr="00C85109">
        <w:rPr>
          <w:rFonts w:asciiTheme="minorHAnsi" w:hAnsiTheme="minorHAnsi" w:cstheme="minorHAnsi"/>
          <w:i/>
          <w:szCs w:val="21"/>
          <w:lang w:val="en" w:eastAsia="en-AU"/>
        </w:rPr>
        <w:t xml:space="preserve">Held </w:t>
      </w:r>
      <w:r w:rsidR="00395EE9" w:rsidRPr="00C85109">
        <w:rPr>
          <w:rFonts w:asciiTheme="minorHAnsi" w:hAnsiTheme="minorHAnsi" w:cstheme="minorHAnsi"/>
          <w:i/>
          <w:szCs w:val="21"/>
          <w:lang w:val="en" w:eastAsia="en-AU"/>
        </w:rPr>
        <w:t>b</w:t>
      </w:r>
      <w:r w:rsidRPr="00C85109">
        <w:rPr>
          <w:rFonts w:asciiTheme="minorHAnsi" w:hAnsiTheme="minorHAnsi" w:cstheme="minorHAnsi"/>
          <w:i/>
          <w:szCs w:val="21"/>
          <w:lang w:val="en" w:eastAsia="en-AU"/>
        </w:rPr>
        <w:t>ack: The experiences of students with disabilities in Victorian school</w:t>
      </w:r>
      <w:r w:rsidR="0066407A" w:rsidRPr="00C85109">
        <w:rPr>
          <w:rFonts w:asciiTheme="minorHAnsi" w:hAnsiTheme="minorHAnsi" w:cstheme="minorHAnsi"/>
          <w:i/>
          <w:szCs w:val="21"/>
          <w:lang w:val="en" w:eastAsia="en-AU"/>
        </w:rPr>
        <w:t>s.</w:t>
      </w:r>
      <w:r w:rsidRPr="00C85109">
        <w:rPr>
          <w:rFonts w:asciiTheme="minorHAnsi" w:hAnsiTheme="minorHAnsi" w:cstheme="minorHAnsi"/>
          <w:szCs w:val="21"/>
          <w:lang w:val="en" w:eastAsia="en-AU"/>
        </w:rPr>
        <w:t xml:space="preserve"> </w:t>
      </w:r>
      <w:r w:rsidR="0066407A" w:rsidRPr="00C85109">
        <w:rPr>
          <w:rFonts w:asciiTheme="minorHAnsi" w:hAnsiTheme="minorHAnsi" w:cstheme="minorHAnsi"/>
          <w:szCs w:val="21"/>
          <w:lang w:val="en" w:eastAsia="en-AU"/>
        </w:rPr>
        <w:t>https://www.humanrights.vic.gov.au/static/Resource-Held_back_report-2012-a6db183a9b13ac2dd426637e362d55eb.pdf</w:t>
      </w:r>
    </w:p>
    <w:p w14:paraId="09CBFF01" w14:textId="3F08FC86" w:rsidR="00E35816" w:rsidRPr="00C85109" w:rsidRDefault="00E35816" w:rsidP="00CE427B">
      <w:pPr>
        <w:shd w:val="clear" w:color="auto" w:fill="FFFFFF"/>
        <w:spacing w:before="0" w:after="120" w:line="276" w:lineRule="auto"/>
        <w:ind w:left="851" w:hanging="491"/>
        <w:rPr>
          <w:rFonts w:asciiTheme="minorHAnsi" w:hAnsiTheme="minorHAnsi" w:cstheme="minorHAnsi"/>
          <w:szCs w:val="21"/>
          <w:lang w:val="en" w:eastAsia="en-AU"/>
        </w:rPr>
      </w:pPr>
      <w:r w:rsidRPr="00C85109">
        <w:rPr>
          <w:rFonts w:asciiTheme="minorHAnsi" w:hAnsiTheme="minorHAnsi" w:cstheme="minorHAnsi"/>
          <w:szCs w:val="21"/>
          <w:lang w:val="en" w:eastAsia="en-AU"/>
        </w:rPr>
        <w:t>Victorian Tertiary Admissions Centre</w:t>
      </w:r>
      <w:r w:rsidR="000A23F1" w:rsidRPr="00C85109">
        <w:rPr>
          <w:rFonts w:asciiTheme="minorHAnsi" w:hAnsiTheme="minorHAnsi" w:cstheme="minorHAnsi"/>
          <w:szCs w:val="21"/>
          <w:lang w:val="en" w:eastAsia="en-AU"/>
        </w:rPr>
        <w:t>.</w:t>
      </w:r>
      <w:r w:rsidRPr="00C85109">
        <w:rPr>
          <w:rFonts w:asciiTheme="minorHAnsi" w:hAnsiTheme="minorHAnsi" w:cstheme="minorHAnsi"/>
          <w:szCs w:val="21"/>
          <w:lang w:val="en" w:eastAsia="en-AU"/>
        </w:rPr>
        <w:t xml:space="preserve"> (</w:t>
      </w:r>
      <w:r w:rsidR="000007B7" w:rsidRPr="00C85109">
        <w:rPr>
          <w:rFonts w:asciiTheme="minorHAnsi" w:hAnsiTheme="minorHAnsi" w:cstheme="minorHAnsi"/>
          <w:szCs w:val="21"/>
          <w:lang w:val="en" w:eastAsia="en-AU"/>
        </w:rPr>
        <w:t>n.d.</w:t>
      </w:r>
      <w:r w:rsidRPr="00C85109">
        <w:rPr>
          <w:rFonts w:asciiTheme="minorHAnsi" w:hAnsiTheme="minorHAnsi" w:cstheme="minorHAnsi"/>
          <w:szCs w:val="21"/>
          <w:lang w:val="en" w:eastAsia="en-AU"/>
        </w:rPr>
        <w:t xml:space="preserve">). </w:t>
      </w:r>
      <w:r w:rsidR="000007B7" w:rsidRPr="00C85109">
        <w:rPr>
          <w:rFonts w:asciiTheme="minorHAnsi" w:hAnsiTheme="minorHAnsi" w:cstheme="minorHAnsi"/>
          <w:i/>
          <w:iCs/>
          <w:szCs w:val="21"/>
          <w:lang w:val="en" w:eastAsia="en-AU"/>
        </w:rPr>
        <w:t>Entrance requirements.</w:t>
      </w:r>
      <w:r w:rsidR="000007B7" w:rsidRPr="00C85109">
        <w:rPr>
          <w:rFonts w:asciiTheme="minorHAnsi" w:hAnsiTheme="minorHAnsi" w:cstheme="minorHAnsi"/>
          <w:szCs w:val="21"/>
          <w:lang w:val="en" w:eastAsia="en-AU"/>
        </w:rPr>
        <w:t xml:space="preserve"> </w:t>
      </w:r>
      <w:r w:rsidRPr="00C85109">
        <w:rPr>
          <w:rFonts w:asciiTheme="minorHAnsi" w:hAnsiTheme="minorHAnsi" w:cstheme="minorHAnsi"/>
          <w:szCs w:val="21"/>
          <w:lang w:val="en" w:eastAsia="en-AU"/>
        </w:rPr>
        <w:t>http</w:t>
      </w:r>
      <w:r w:rsidR="0011277A" w:rsidRPr="00C85109">
        <w:rPr>
          <w:rFonts w:asciiTheme="minorHAnsi" w:hAnsiTheme="minorHAnsi" w:cstheme="minorHAnsi"/>
          <w:szCs w:val="21"/>
          <w:lang w:val="en" w:eastAsia="en-AU"/>
        </w:rPr>
        <w:t>s</w:t>
      </w:r>
      <w:r w:rsidRPr="00C85109">
        <w:rPr>
          <w:rFonts w:asciiTheme="minorHAnsi" w:hAnsiTheme="minorHAnsi" w:cstheme="minorHAnsi"/>
          <w:szCs w:val="21"/>
          <w:lang w:val="en" w:eastAsia="en-AU"/>
        </w:rPr>
        <w:t>://www.vtac.edu.au/who/entry-req.html#tertiary</w:t>
      </w:r>
    </w:p>
    <w:p w14:paraId="720291BE" w14:textId="3B4DEA74" w:rsidR="00E35816" w:rsidRPr="00C85109" w:rsidRDefault="00E35816" w:rsidP="00CE427B">
      <w:pPr>
        <w:pStyle w:val="EndNoteBibliography"/>
        <w:spacing w:after="120" w:line="276" w:lineRule="auto"/>
        <w:ind w:left="851" w:hanging="491"/>
        <w:rPr>
          <w:rFonts w:asciiTheme="minorHAnsi" w:hAnsiTheme="minorHAnsi" w:cstheme="minorHAnsi"/>
          <w:sz w:val="21"/>
          <w:szCs w:val="21"/>
        </w:rPr>
      </w:pPr>
      <w:bookmarkStart w:id="218" w:name="_Hlk41838534"/>
      <w:r w:rsidRPr="00C85109">
        <w:rPr>
          <w:rFonts w:asciiTheme="minorHAnsi" w:hAnsiTheme="minorHAnsi" w:cstheme="minorHAnsi"/>
          <w:sz w:val="21"/>
          <w:szCs w:val="21"/>
        </w:rPr>
        <w:t>Wakeford, M., &amp; Waugh, F. (2010). ‘</w:t>
      </w:r>
      <w:r w:rsidRPr="00C85109">
        <w:rPr>
          <w:rFonts w:asciiTheme="minorHAnsi" w:hAnsiTheme="minorHAnsi" w:cstheme="minorHAnsi"/>
          <w:i/>
          <w:iCs/>
          <w:sz w:val="21"/>
          <w:szCs w:val="21"/>
        </w:rPr>
        <w:t xml:space="preserve">Ticket to </w:t>
      </w:r>
      <w:r w:rsidR="008A0B8C" w:rsidRPr="00C85109">
        <w:rPr>
          <w:rFonts w:asciiTheme="minorHAnsi" w:hAnsiTheme="minorHAnsi" w:cstheme="minorHAnsi"/>
          <w:i/>
          <w:iCs/>
          <w:sz w:val="21"/>
          <w:szCs w:val="21"/>
        </w:rPr>
        <w:t>w</w:t>
      </w:r>
      <w:r w:rsidRPr="00C85109">
        <w:rPr>
          <w:rFonts w:asciiTheme="minorHAnsi" w:hAnsiTheme="minorHAnsi" w:cstheme="minorHAnsi"/>
          <w:i/>
          <w:iCs/>
          <w:sz w:val="21"/>
          <w:szCs w:val="21"/>
        </w:rPr>
        <w:t>ork’</w:t>
      </w:r>
      <w:r w:rsidR="008A0B8C" w:rsidRPr="00C85109">
        <w:rPr>
          <w:rFonts w:asciiTheme="minorHAnsi" w:hAnsiTheme="minorHAnsi" w:cstheme="minorHAnsi"/>
          <w:i/>
          <w:iCs/>
          <w:sz w:val="21"/>
          <w:szCs w:val="21"/>
        </w:rPr>
        <w:t>:</w:t>
      </w:r>
      <w:r w:rsidRPr="00C85109">
        <w:rPr>
          <w:rFonts w:asciiTheme="minorHAnsi" w:hAnsiTheme="minorHAnsi" w:cstheme="minorHAnsi"/>
          <w:i/>
          <w:iCs/>
          <w:sz w:val="21"/>
          <w:szCs w:val="21"/>
        </w:rPr>
        <w:t xml:space="preserve"> An employment and transition model for students with a disability</w:t>
      </w:r>
      <w:r w:rsidR="008A0B8C" w:rsidRPr="00C85109">
        <w:rPr>
          <w:rFonts w:asciiTheme="minorHAnsi" w:hAnsiTheme="minorHAnsi" w:cstheme="minorHAnsi"/>
          <w:i/>
          <w:iCs/>
          <w:sz w:val="21"/>
          <w:szCs w:val="21"/>
        </w:rPr>
        <w:t>.</w:t>
      </w:r>
      <w:r w:rsidR="00D02534" w:rsidRPr="00C85109">
        <w:rPr>
          <w:rFonts w:asciiTheme="minorHAnsi" w:hAnsiTheme="minorHAnsi" w:cstheme="minorHAnsi"/>
          <w:sz w:val="21"/>
          <w:szCs w:val="21"/>
        </w:rPr>
        <w:t xml:space="preserve"> </w:t>
      </w:r>
      <w:r w:rsidR="005F504F" w:rsidRPr="00C85109">
        <w:rPr>
          <w:rFonts w:asciiTheme="minorHAnsi" w:hAnsiTheme="minorHAnsi" w:cstheme="minorHAnsi"/>
          <w:sz w:val="21"/>
          <w:szCs w:val="21"/>
        </w:rPr>
        <w:t xml:space="preserve">Youth Disability Pathways Network (Inner Melbourne). </w:t>
      </w:r>
      <w:r w:rsidR="00FB48BE" w:rsidRPr="00FB48BE">
        <w:t>https://web.archive.org/web/20200330123049/http://www.tickettowork.org.au/wp-content/uploads/2014/05/Ticket-to-Work-Scoping-Report-2010.pdf</w:t>
      </w:r>
    </w:p>
    <w:p w14:paraId="679E11B1" w14:textId="2CB1B3EF" w:rsidR="00E35816" w:rsidRPr="00C85109" w:rsidRDefault="00E35816" w:rsidP="00CE427B">
      <w:pPr>
        <w:spacing w:before="0" w:after="120" w:line="276" w:lineRule="auto"/>
        <w:ind w:left="851" w:hanging="491"/>
        <w:rPr>
          <w:rFonts w:asciiTheme="minorHAnsi" w:hAnsiTheme="minorHAnsi" w:cstheme="minorHAnsi"/>
          <w:szCs w:val="21"/>
        </w:rPr>
      </w:pPr>
      <w:bookmarkStart w:id="219" w:name="_Hlk42692993"/>
      <w:bookmarkStart w:id="220" w:name="_Hlk42442003"/>
      <w:r w:rsidRPr="00C85109">
        <w:rPr>
          <w:rFonts w:asciiTheme="minorHAnsi" w:hAnsiTheme="minorHAnsi" w:cstheme="minorHAnsi"/>
          <w:szCs w:val="21"/>
        </w:rPr>
        <w:lastRenderedPageBreak/>
        <w:t xml:space="preserve">Wakeford, M. &amp; Waugh, F. (2014). </w:t>
      </w:r>
      <w:r w:rsidRPr="00C85109">
        <w:rPr>
          <w:rFonts w:asciiTheme="minorHAnsi" w:hAnsiTheme="minorHAnsi" w:cstheme="minorHAnsi"/>
          <w:i/>
          <w:iCs/>
          <w:szCs w:val="21"/>
        </w:rPr>
        <w:t>Transition</w:t>
      </w:r>
      <w:r w:rsidR="00AC62EE" w:rsidRPr="00C85109">
        <w:rPr>
          <w:rFonts w:asciiTheme="minorHAnsi" w:hAnsiTheme="minorHAnsi" w:cstheme="minorHAnsi"/>
          <w:i/>
          <w:iCs/>
          <w:szCs w:val="21"/>
        </w:rPr>
        <w:t>s</w:t>
      </w:r>
      <w:r w:rsidRPr="00C85109">
        <w:rPr>
          <w:rFonts w:asciiTheme="minorHAnsi" w:hAnsiTheme="minorHAnsi" w:cstheme="minorHAnsi"/>
          <w:i/>
          <w:iCs/>
          <w:szCs w:val="21"/>
        </w:rPr>
        <w:t xml:space="preserve"> to employment of Australian young people with disability and the </w:t>
      </w:r>
      <w:r w:rsidR="00542156" w:rsidRPr="00C85109">
        <w:rPr>
          <w:rFonts w:asciiTheme="minorHAnsi" w:hAnsiTheme="minorHAnsi" w:cstheme="minorHAnsi"/>
          <w:i/>
          <w:iCs/>
          <w:szCs w:val="21"/>
        </w:rPr>
        <w:t>t</w:t>
      </w:r>
      <w:r w:rsidRPr="00C85109">
        <w:rPr>
          <w:rFonts w:asciiTheme="minorHAnsi" w:hAnsiTheme="minorHAnsi" w:cstheme="minorHAnsi"/>
          <w:i/>
          <w:iCs/>
          <w:szCs w:val="21"/>
        </w:rPr>
        <w:t xml:space="preserve">icket to </w:t>
      </w:r>
      <w:r w:rsidR="00542156" w:rsidRPr="00C85109">
        <w:rPr>
          <w:rFonts w:asciiTheme="minorHAnsi" w:hAnsiTheme="minorHAnsi" w:cstheme="minorHAnsi"/>
          <w:i/>
          <w:iCs/>
          <w:szCs w:val="21"/>
        </w:rPr>
        <w:t>w</w:t>
      </w:r>
      <w:r w:rsidRPr="00C85109">
        <w:rPr>
          <w:rFonts w:asciiTheme="minorHAnsi" w:hAnsiTheme="minorHAnsi" w:cstheme="minorHAnsi"/>
          <w:i/>
          <w:iCs/>
          <w:szCs w:val="21"/>
        </w:rPr>
        <w:t>ork initiative</w:t>
      </w:r>
      <w:r w:rsidR="00542156" w:rsidRPr="00C85109">
        <w:rPr>
          <w:rFonts w:asciiTheme="minorHAnsi" w:hAnsiTheme="minorHAnsi" w:cstheme="minorHAnsi"/>
          <w:szCs w:val="21"/>
        </w:rPr>
        <w:t>.</w:t>
      </w:r>
      <w:r w:rsidRPr="00C85109">
        <w:rPr>
          <w:rFonts w:asciiTheme="minorHAnsi" w:hAnsiTheme="minorHAnsi" w:cstheme="minorHAnsi"/>
          <w:szCs w:val="21"/>
        </w:rPr>
        <w:t xml:space="preserve"> National Ticket to Work Network</w:t>
      </w:r>
      <w:r w:rsidR="0056414A" w:rsidRPr="00C85109">
        <w:rPr>
          <w:rFonts w:asciiTheme="minorHAnsi" w:hAnsiTheme="minorHAnsi" w:cstheme="minorHAnsi"/>
          <w:szCs w:val="21"/>
        </w:rPr>
        <w:t xml:space="preserve">. </w:t>
      </w:r>
      <w:r w:rsidR="00AC62EE" w:rsidRPr="00C85109">
        <w:rPr>
          <w:rFonts w:asciiTheme="minorHAnsi" w:hAnsiTheme="minorHAnsi" w:cstheme="minorHAnsi"/>
          <w:szCs w:val="21"/>
        </w:rPr>
        <w:t>http</w:t>
      </w:r>
      <w:r w:rsidR="00D97839" w:rsidRPr="00C85109">
        <w:rPr>
          <w:rFonts w:asciiTheme="minorHAnsi" w:hAnsiTheme="minorHAnsi" w:cstheme="minorHAnsi"/>
          <w:szCs w:val="21"/>
        </w:rPr>
        <w:t>s</w:t>
      </w:r>
      <w:r w:rsidR="00AC62EE" w:rsidRPr="00C85109">
        <w:rPr>
          <w:rFonts w:asciiTheme="minorHAnsi" w:hAnsiTheme="minorHAnsi" w:cstheme="minorHAnsi"/>
          <w:szCs w:val="21"/>
        </w:rPr>
        <w:t>://tickettowork.org.au/resource/93/</w:t>
      </w:r>
    </w:p>
    <w:bookmarkEnd w:id="219"/>
    <w:p w14:paraId="3619B441" w14:textId="19864101" w:rsidR="00E35816" w:rsidRPr="00C85109" w:rsidRDefault="00E35816" w:rsidP="00CE427B">
      <w:pPr>
        <w:spacing w:before="0" w:after="120" w:line="276" w:lineRule="auto"/>
        <w:ind w:left="851" w:hanging="491"/>
        <w:rPr>
          <w:rFonts w:asciiTheme="minorHAnsi" w:hAnsiTheme="minorHAnsi" w:cstheme="minorHAnsi"/>
          <w:szCs w:val="21"/>
        </w:rPr>
      </w:pPr>
      <w:proofErr w:type="spellStart"/>
      <w:r w:rsidRPr="00C85109">
        <w:rPr>
          <w:rFonts w:asciiTheme="minorHAnsi" w:hAnsiTheme="minorHAnsi" w:cstheme="minorHAnsi"/>
          <w:szCs w:val="21"/>
        </w:rPr>
        <w:t>Wehman</w:t>
      </w:r>
      <w:proofErr w:type="spellEnd"/>
      <w:r w:rsidRPr="00C85109">
        <w:rPr>
          <w:rFonts w:asciiTheme="minorHAnsi" w:hAnsiTheme="minorHAnsi" w:cstheme="minorHAnsi"/>
          <w:szCs w:val="21"/>
        </w:rPr>
        <w:t>, P.</w:t>
      </w:r>
      <w:r w:rsidR="002C656C" w:rsidRPr="00C85109">
        <w:rPr>
          <w:rFonts w:asciiTheme="minorHAnsi" w:hAnsiTheme="minorHAnsi" w:cstheme="minorHAnsi"/>
          <w:szCs w:val="21"/>
        </w:rPr>
        <w:t xml:space="preserve"> H.</w:t>
      </w:r>
      <w:r w:rsidRPr="00C85109">
        <w:rPr>
          <w:rFonts w:asciiTheme="minorHAnsi" w:hAnsiTheme="minorHAnsi" w:cstheme="minorHAnsi"/>
          <w:szCs w:val="21"/>
        </w:rPr>
        <w:t xml:space="preserve">, </w:t>
      </w:r>
      <w:proofErr w:type="spellStart"/>
      <w:r w:rsidRPr="00C85109">
        <w:rPr>
          <w:rFonts w:asciiTheme="minorHAnsi" w:hAnsiTheme="minorHAnsi" w:cstheme="minorHAnsi"/>
          <w:szCs w:val="21"/>
        </w:rPr>
        <w:t>Schall</w:t>
      </w:r>
      <w:proofErr w:type="spellEnd"/>
      <w:r w:rsidRPr="00C85109">
        <w:rPr>
          <w:rFonts w:asciiTheme="minorHAnsi" w:hAnsiTheme="minorHAnsi" w:cstheme="minorHAnsi"/>
          <w:szCs w:val="21"/>
        </w:rPr>
        <w:t>, C.</w:t>
      </w:r>
      <w:r w:rsidR="00F33432" w:rsidRPr="00C85109">
        <w:rPr>
          <w:rFonts w:asciiTheme="minorHAnsi" w:hAnsiTheme="minorHAnsi" w:cstheme="minorHAnsi"/>
          <w:szCs w:val="21"/>
        </w:rPr>
        <w:t xml:space="preserve"> M.</w:t>
      </w:r>
      <w:r w:rsidRPr="00C85109">
        <w:rPr>
          <w:rFonts w:asciiTheme="minorHAnsi" w:hAnsiTheme="minorHAnsi" w:cstheme="minorHAnsi"/>
          <w:szCs w:val="21"/>
        </w:rPr>
        <w:t xml:space="preserve">, McDonough, J., Kregel, J., Brooke, V., </w:t>
      </w:r>
      <w:proofErr w:type="spellStart"/>
      <w:r w:rsidRPr="00C85109">
        <w:rPr>
          <w:rFonts w:asciiTheme="minorHAnsi" w:hAnsiTheme="minorHAnsi" w:cstheme="minorHAnsi"/>
          <w:szCs w:val="21"/>
        </w:rPr>
        <w:t>Molinelli</w:t>
      </w:r>
      <w:proofErr w:type="spellEnd"/>
      <w:r w:rsidRPr="00C85109">
        <w:rPr>
          <w:rFonts w:asciiTheme="minorHAnsi" w:hAnsiTheme="minorHAnsi" w:cstheme="minorHAnsi"/>
          <w:szCs w:val="21"/>
        </w:rPr>
        <w:t>, A.,</w:t>
      </w:r>
      <w:r w:rsidR="00D317B7" w:rsidRPr="00C85109">
        <w:rPr>
          <w:rFonts w:asciiTheme="minorHAnsi" w:hAnsiTheme="minorHAnsi" w:cstheme="minorHAnsi"/>
          <w:szCs w:val="21"/>
        </w:rPr>
        <w:t xml:space="preserve"> </w:t>
      </w:r>
      <w:r w:rsidR="00D93F9D" w:rsidRPr="00C85109">
        <w:rPr>
          <w:rFonts w:asciiTheme="minorHAnsi" w:hAnsiTheme="minorHAnsi" w:cstheme="minorHAnsi"/>
          <w:szCs w:val="21"/>
        </w:rPr>
        <w:t>Ham, W., Grah</w:t>
      </w:r>
      <w:r w:rsidR="00B44EBA" w:rsidRPr="00C85109">
        <w:rPr>
          <w:rFonts w:asciiTheme="minorHAnsi" w:hAnsiTheme="minorHAnsi" w:cstheme="minorHAnsi"/>
          <w:szCs w:val="21"/>
        </w:rPr>
        <w:t>am, C. W., Riehle, J. E.,</w:t>
      </w:r>
      <w:r w:rsidR="00764E3E" w:rsidRPr="00C85109">
        <w:rPr>
          <w:rFonts w:asciiTheme="minorHAnsi" w:hAnsiTheme="minorHAnsi" w:cstheme="minorHAnsi"/>
          <w:szCs w:val="21"/>
        </w:rPr>
        <w:t xml:space="preserve"> Collins, H.T.,</w:t>
      </w:r>
      <w:r w:rsidRPr="00C85109">
        <w:rPr>
          <w:rFonts w:asciiTheme="minorHAnsi" w:hAnsiTheme="minorHAnsi" w:cstheme="minorHAnsi"/>
          <w:szCs w:val="21"/>
        </w:rPr>
        <w:t xml:space="preserve"> &amp; </w:t>
      </w:r>
      <w:proofErr w:type="spellStart"/>
      <w:r w:rsidRPr="00C85109">
        <w:rPr>
          <w:rFonts w:asciiTheme="minorHAnsi" w:hAnsiTheme="minorHAnsi" w:cstheme="minorHAnsi"/>
          <w:szCs w:val="21"/>
        </w:rPr>
        <w:t>Thiss</w:t>
      </w:r>
      <w:proofErr w:type="spellEnd"/>
      <w:r w:rsidRPr="00C85109">
        <w:rPr>
          <w:rFonts w:asciiTheme="minorHAnsi" w:hAnsiTheme="minorHAnsi" w:cstheme="minorHAnsi"/>
          <w:szCs w:val="21"/>
        </w:rPr>
        <w:t xml:space="preserve">, W. (2014). Competitive employment for youth with autism spectrum disorders: Early results from a randomized clinical trial. </w:t>
      </w:r>
      <w:r w:rsidRPr="00C85109">
        <w:rPr>
          <w:rFonts w:asciiTheme="minorHAnsi" w:hAnsiTheme="minorHAnsi" w:cstheme="minorHAnsi"/>
          <w:i/>
          <w:iCs/>
          <w:szCs w:val="21"/>
        </w:rPr>
        <w:t>Journal of Autism and Developmental Disorders</w:t>
      </w:r>
      <w:r w:rsidRPr="00C85109">
        <w:rPr>
          <w:rFonts w:asciiTheme="minorHAnsi" w:hAnsiTheme="minorHAnsi" w:cstheme="minorHAnsi"/>
          <w:szCs w:val="21"/>
        </w:rPr>
        <w:t xml:space="preserve">, </w:t>
      </w:r>
      <w:r w:rsidRPr="00C85109">
        <w:rPr>
          <w:rFonts w:asciiTheme="minorHAnsi" w:hAnsiTheme="minorHAnsi" w:cstheme="minorHAnsi"/>
          <w:i/>
          <w:iCs/>
          <w:szCs w:val="21"/>
        </w:rPr>
        <w:t>44</w:t>
      </w:r>
      <w:r w:rsidR="001B12E9" w:rsidRPr="00C85109">
        <w:rPr>
          <w:rFonts w:asciiTheme="minorHAnsi" w:hAnsiTheme="minorHAnsi" w:cstheme="minorHAnsi"/>
          <w:szCs w:val="21"/>
        </w:rPr>
        <w:t>(3)</w:t>
      </w:r>
      <w:r w:rsidRPr="00C85109">
        <w:rPr>
          <w:rFonts w:asciiTheme="minorHAnsi" w:hAnsiTheme="minorHAnsi" w:cstheme="minorHAnsi"/>
          <w:szCs w:val="21"/>
        </w:rPr>
        <w:t xml:space="preserve">, 487-500. </w:t>
      </w:r>
      <w:r w:rsidR="006C3ECC" w:rsidRPr="00C85109">
        <w:rPr>
          <w:rFonts w:asciiTheme="minorHAnsi" w:hAnsiTheme="minorHAnsi" w:cstheme="minorHAnsi"/>
          <w:szCs w:val="21"/>
        </w:rPr>
        <w:t>https://doi.org/10.1007/s10803-013-1892-x</w:t>
      </w:r>
    </w:p>
    <w:p w14:paraId="1324EC3F" w14:textId="6574BB7F" w:rsidR="00E35816" w:rsidRPr="00C85109" w:rsidRDefault="00E35816" w:rsidP="00CE427B">
      <w:pPr>
        <w:spacing w:before="0" w:after="120" w:line="276" w:lineRule="auto"/>
        <w:ind w:left="851" w:hanging="491"/>
        <w:rPr>
          <w:rFonts w:asciiTheme="minorHAnsi" w:hAnsiTheme="minorHAnsi" w:cstheme="minorHAnsi"/>
          <w:szCs w:val="21"/>
        </w:rPr>
      </w:pPr>
      <w:bookmarkStart w:id="221" w:name="_Hlk42266499"/>
      <w:bookmarkEnd w:id="217"/>
      <w:bookmarkEnd w:id="218"/>
      <w:bookmarkEnd w:id="220"/>
      <w:proofErr w:type="spellStart"/>
      <w:r w:rsidRPr="00C85109">
        <w:rPr>
          <w:rFonts w:asciiTheme="minorHAnsi" w:hAnsiTheme="minorHAnsi" w:cstheme="minorHAnsi"/>
          <w:szCs w:val="21"/>
        </w:rPr>
        <w:t>Wehman</w:t>
      </w:r>
      <w:proofErr w:type="spellEnd"/>
      <w:r w:rsidRPr="00C85109">
        <w:rPr>
          <w:rFonts w:asciiTheme="minorHAnsi" w:hAnsiTheme="minorHAnsi" w:cstheme="minorHAnsi"/>
          <w:szCs w:val="21"/>
        </w:rPr>
        <w:t xml:space="preserve">, P., Taylor, J., Brooke, V., </w:t>
      </w:r>
      <w:proofErr w:type="spellStart"/>
      <w:r w:rsidRPr="00C85109">
        <w:rPr>
          <w:rFonts w:asciiTheme="minorHAnsi" w:hAnsiTheme="minorHAnsi" w:cstheme="minorHAnsi"/>
          <w:szCs w:val="21"/>
        </w:rPr>
        <w:t>Avellone</w:t>
      </w:r>
      <w:proofErr w:type="spellEnd"/>
      <w:r w:rsidRPr="00C85109">
        <w:rPr>
          <w:rFonts w:asciiTheme="minorHAnsi" w:hAnsiTheme="minorHAnsi" w:cstheme="minorHAnsi"/>
          <w:szCs w:val="21"/>
        </w:rPr>
        <w:t>, L., Whittenburg, H.</w:t>
      </w:r>
      <w:r w:rsidR="00B41641" w:rsidRPr="00C85109">
        <w:rPr>
          <w:rFonts w:asciiTheme="minorHAnsi" w:hAnsiTheme="minorHAnsi" w:cstheme="minorHAnsi"/>
          <w:szCs w:val="21"/>
        </w:rPr>
        <w:t xml:space="preserve"> N</w:t>
      </w:r>
      <w:r w:rsidR="00FE6D3F" w:rsidRPr="00C85109">
        <w:rPr>
          <w:rFonts w:asciiTheme="minorHAnsi" w:hAnsiTheme="minorHAnsi" w:cstheme="minorHAnsi"/>
          <w:szCs w:val="21"/>
        </w:rPr>
        <w:t>.</w:t>
      </w:r>
      <w:r w:rsidRPr="00C85109">
        <w:rPr>
          <w:rFonts w:asciiTheme="minorHAnsi" w:hAnsiTheme="minorHAnsi" w:cstheme="minorHAnsi"/>
          <w:szCs w:val="21"/>
        </w:rPr>
        <w:t xml:space="preserve">, Ham, W., </w:t>
      </w:r>
      <w:r w:rsidR="0085513A" w:rsidRPr="00C85109">
        <w:rPr>
          <w:rFonts w:asciiTheme="minorHAnsi" w:hAnsiTheme="minorHAnsi" w:cstheme="minorHAnsi"/>
          <w:szCs w:val="21"/>
        </w:rPr>
        <w:t>Brooke, A.</w:t>
      </w:r>
      <w:r w:rsidR="00B41641" w:rsidRPr="00C85109">
        <w:rPr>
          <w:rFonts w:asciiTheme="minorHAnsi" w:hAnsiTheme="minorHAnsi" w:cstheme="minorHAnsi"/>
          <w:szCs w:val="21"/>
        </w:rPr>
        <w:t xml:space="preserve"> M.</w:t>
      </w:r>
      <w:r w:rsidR="0085513A" w:rsidRPr="00C85109">
        <w:rPr>
          <w:rFonts w:asciiTheme="minorHAnsi" w:hAnsiTheme="minorHAnsi" w:cstheme="minorHAnsi"/>
          <w:szCs w:val="21"/>
        </w:rPr>
        <w:t xml:space="preserve">, &amp; </w:t>
      </w:r>
      <w:proofErr w:type="spellStart"/>
      <w:r w:rsidRPr="00C85109">
        <w:rPr>
          <w:rFonts w:asciiTheme="minorHAnsi" w:hAnsiTheme="minorHAnsi" w:cstheme="minorHAnsi"/>
          <w:szCs w:val="21"/>
        </w:rPr>
        <w:t>Carr</w:t>
      </w:r>
      <w:proofErr w:type="spellEnd"/>
      <w:r w:rsidRPr="00C85109">
        <w:rPr>
          <w:rFonts w:asciiTheme="minorHAnsi" w:hAnsiTheme="minorHAnsi" w:cstheme="minorHAnsi"/>
          <w:szCs w:val="21"/>
        </w:rPr>
        <w:t xml:space="preserve">, S. (2018). Toward </w:t>
      </w:r>
      <w:r w:rsidR="00C61A49" w:rsidRPr="00C85109">
        <w:rPr>
          <w:rFonts w:asciiTheme="minorHAnsi" w:hAnsiTheme="minorHAnsi" w:cstheme="minorHAnsi"/>
          <w:szCs w:val="21"/>
        </w:rPr>
        <w:t>competitive employment for persons with intellectual and developmental disabilities</w:t>
      </w:r>
      <w:r w:rsidRPr="00C85109">
        <w:rPr>
          <w:rFonts w:asciiTheme="minorHAnsi" w:hAnsiTheme="minorHAnsi" w:cstheme="minorHAnsi"/>
          <w:szCs w:val="21"/>
        </w:rPr>
        <w:t xml:space="preserve">: What </w:t>
      </w:r>
      <w:r w:rsidR="00C61A49" w:rsidRPr="00C85109">
        <w:rPr>
          <w:rFonts w:asciiTheme="minorHAnsi" w:hAnsiTheme="minorHAnsi" w:cstheme="minorHAnsi"/>
          <w:szCs w:val="21"/>
        </w:rPr>
        <w:t>progress have we made and where do we need to go</w:t>
      </w:r>
      <w:r w:rsidRPr="00C85109">
        <w:rPr>
          <w:rFonts w:asciiTheme="minorHAnsi" w:hAnsiTheme="minorHAnsi" w:cstheme="minorHAnsi"/>
          <w:szCs w:val="21"/>
        </w:rPr>
        <w:t xml:space="preserve">. </w:t>
      </w:r>
      <w:r w:rsidRPr="00C85109">
        <w:rPr>
          <w:rFonts w:asciiTheme="minorHAnsi" w:hAnsiTheme="minorHAnsi" w:cstheme="minorHAnsi"/>
          <w:i/>
          <w:iCs/>
          <w:szCs w:val="21"/>
        </w:rPr>
        <w:t>Research and Practice for Persons with Severe Disabilities, 43</w:t>
      </w:r>
      <w:r w:rsidRPr="00C85109">
        <w:rPr>
          <w:rFonts w:asciiTheme="minorHAnsi" w:hAnsiTheme="minorHAnsi" w:cstheme="minorHAnsi"/>
          <w:szCs w:val="21"/>
        </w:rPr>
        <w:t xml:space="preserve">(3), 131-144. </w:t>
      </w:r>
      <w:r w:rsidR="00912FB0" w:rsidRPr="00C85109">
        <w:rPr>
          <w:rFonts w:asciiTheme="minorHAnsi" w:hAnsiTheme="minorHAnsi" w:cstheme="minorHAnsi"/>
          <w:szCs w:val="21"/>
        </w:rPr>
        <w:t>https://doi.org/10.1177/1540796918777730</w:t>
      </w:r>
    </w:p>
    <w:p w14:paraId="0A87DD12" w14:textId="4923EA91" w:rsidR="00E35816" w:rsidRPr="00C85109" w:rsidRDefault="00E35816" w:rsidP="00CE427B">
      <w:pPr>
        <w:spacing w:before="0" w:after="120" w:line="276" w:lineRule="auto"/>
        <w:ind w:left="851" w:hanging="491"/>
        <w:rPr>
          <w:rFonts w:asciiTheme="minorHAnsi" w:hAnsiTheme="minorHAnsi" w:cstheme="minorHAnsi"/>
          <w:szCs w:val="21"/>
        </w:rPr>
      </w:pPr>
      <w:bookmarkStart w:id="222" w:name="_Hlk40695554"/>
      <w:bookmarkEnd w:id="221"/>
      <w:r w:rsidRPr="004F1CD7">
        <w:rPr>
          <w:rFonts w:asciiTheme="minorHAnsi" w:hAnsiTheme="minorHAnsi" w:cstheme="minorHAnsi"/>
          <w:szCs w:val="21"/>
        </w:rPr>
        <w:t>White, G.,</w:t>
      </w:r>
      <w:r w:rsidRPr="00C85109">
        <w:rPr>
          <w:rFonts w:asciiTheme="minorHAnsi" w:hAnsiTheme="minorHAnsi" w:cstheme="minorHAnsi"/>
          <w:szCs w:val="21"/>
        </w:rPr>
        <w:t xml:space="preserve"> </w:t>
      </w:r>
      <w:proofErr w:type="spellStart"/>
      <w:r w:rsidRPr="00C85109">
        <w:rPr>
          <w:rFonts w:asciiTheme="minorHAnsi" w:hAnsiTheme="minorHAnsi" w:cstheme="minorHAnsi"/>
          <w:szCs w:val="21"/>
        </w:rPr>
        <w:t>Kiegaldie</w:t>
      </w:r>
      <w:proofErr w:type="spellEnd"/>
      <w:r w:rsidRPr="00C85109">
        <w:rPr>
          <w:rFonts w:asciiTheme="minorHAnsi" w:hAnsiTheme="minorHAnsi" w:cstheme="minorHAnsi"/>
          <w:szCs w:val="21"/>
        </w:rPr>
        <w:t>, D.,</w:t>
      </w:r>
      <w:r w:rsidR="00C61A49" w:rsidRPr="00C85109">
        <w:rPr>
          <w:rFonts w:asciiTheme="minorHAnsi" w:hAnsiTheme="minorHAnsi" w:cstheme="minorHAnsi"/>
          <w:szCs w:val="21"/>
        </w:rPr>
        <w:t xml:space="preserve"> </w:t>
      </w:r>
      <w:r w:rsidRPr="00C85109">
        <w:rPr>
          <w:rFonts w:asciiTheme="minorHAnsi" w:hAnsiTheme="minorHAnsi" w:cstheme="minorHAnsi"/>
          <w:szCs w:val="21"/>
        </w:rPr>
        <w:t xml:space="preserve">Hunter, S. (2019). </w:t>
      </w:r>
      <w:r w:rsidRPr="00C85109">
        <w:rPr>
          <w:rFonts w:asciiTheme="minorHAnsi" w:hAnsiTheme="minorHAnsi" w:cstheme="minorHAnsi"/>
          <w:i/>
          <w:iCs/>
          <w:szCs w:val="21"/>
        </w:rPr>
        <w:t xml:space="preserve">The integrated practical placement program: </w:t>
      </w:r>
      <w:r w:rsidR="00924993" w:rsidRPr="00C85109">
        <w:rPr>
          <w:rFonts w:asciiTheme="minorHAnsi" w:hAnsiTheme="minorHAnsi" w:cstheme="minorHAnsi"/>
          <w:i/>
          <w:iCs/>
          <w:szCs w:val="21"/>
        </w:rPr>
        <w:t>A</w:t>
      </w:r>
      <w:r w:rsidRPr="00C85109">
        <w:rPr>
          <w:rFonts w:asciiTheme="minorHAnsi" w:hAnsiTheme="minorHAnsi" w:cstheme="minorHAnsi"/>
          <w:i/>
          <w:iCs/>
          <w:szCs w:val="21"/>
        </w:rPr>
        <w:t xml:space="preserve"> program of social inclusion in the workplace for people with disability.</w:t>
      </w:r>
      <w:r w:rsidRPr="00C85109">
        <w:rPr>
          <w:rFonts w:asciiTheme="minorHAnsi" w:hAnsiTheme="minorHAnsi" w:cstheme="minorHAnsi"/>
          <w:szCs w:val="21"/>
        </w:rPr>
        <w:t xml:space="preserve"> </w:t>
      </w:r>
      <w:proofErr w:type="spellStart"/>
      <w:r w:rsidRPr="00C85109">
        <w:rPr>
          <w:rFonts w:asciiTheme="minorHAnsi" w:hAnsiTheme="minorHAnsi" w:cstheme="minorHAnsi"/>
          <w:szCs w:val="21"/>
        </w:rPr>
        <w:t>Holm</w:t>
      </w:r>
      <w:r w:rsidR="00786F08" w:rsidRPr="00C85109">
        <w:rPr>
          <w:rFonts w:asciiTheme="minorHAnsi" w:hAnsiTheme="minorHAnsi" w:cstheme="minorHAnsi"/>
          <w:szCs w:val="21"/>
        </w:rPr>
        <w:t>e</w:t>
      </w:r>
      <w:r w:rsidRPr="00C85109">
        <w:rPr>
          <w:rFonts w:asciiTheme="minorHAnsi" w:hAnsiTheme="minorHAnsi" w:cstheme="minorHAnsi"/>
          <w:szCs w:val="21"/>
        </w:rPr>
        <w:t>sglen</w:t>
      </w:r>
      <w:proofErr w:type="spellEnd"/>
      <w:r w:rsidRPr="00C85109">
        <w:rPr>
          <w:rFonts w:asciiTheme="minorHAnsi" w:hAnsiTheme="minorHAnsi" w:cstheme="minorHAnsi"/>
          <w:szCs w:val="21"/>
        </w:rPr>
        <w:t xml:space="preserve"> and the Royal Children’s Hospital</w:t>
      </w:r>
      <w:r w:rsidR="007E6360" w:rsidRPr="00C85109">
        <w:rPr>
          <w:rFonts w:asciiTheme="minorHAnsi" w:hAnsiTheme="minorHAnsi" w:cstheme="minorHAnsi"/>
          <w:szCs w:val="21"/>
        </w:rPr>
        <w:t>.</w:t>
      </w:r>
    </w:p>
    <w:p w14:paraId="507BFE5C" w14:textId="28F4597F" w:rsidR="00EA1233" w:rsidRPr="00C85109" w:rsidRDefault="00EA1233" w:rsidP="00CE427B">
      <w:pPr>
        <w:spacing w:before="0" w:after="120" w:line="276" w:lineRule="auto"/>
        <w:ind w:left="851" w:hanging="491"/>
        <w:rPr>
          <w:rFonts w:asciiTheme="minorHAnsi" w:hAnsiTheme="minorHAnsi" w:cstheme="minorHAnsi"/>
          <w:szCs w:val="21"/>
        </w:rPr>
      </w:pPr>
      <w:r w:rsidRPr="00C85109">
        <w:rPr>
          <w:rFonts w:asciiTheme="minorHAnsi" w:hAnsiTheme="minorHAnsi" w:cstheme="minorHAnsi"/>
          <w:szCs w:val="21"/>
        </w:rPr>
        <w:t xml:space="preserve">WISE Employment. (n.d.). </w:t>
      </w:r>
      <w:r w:rsidR="00CE45A0" w:rsidRPr="00C85109">
        <w:rPr>
          <w:rFonts w:asciiTheme="minorHAnsi" w:hAnsiTheme="minorHAnsi" w:cstheme="minorHAnsi"/>
          <w:i/>
          <w:iCs/>
          <w:szCs w:val="21"/>
        </w:rPr>
        <w:t xml:space="preserve">Laura reaps benefits of The Integrated Practical Placement Program – </w:t>
      </w:r>
      <w:proofErr w:type="gramStart"/>
      <w:r w:rsidR="00CE45A0" w:rsidRPr="00C85109">
        <w:rPr>
          <w:rFonts w:asciiTheme="minorHAnsi" w:hAnsiTheme="minorHAnsi" w:cstheme="minorHAnsi"/>
          <w:i/>
          <w:iCs/>
          <w:szCs w:val="21"/>
        </w:rPr>
        <w:t>a joint collaboration</w:t>
      </w:r>
      <w:proofErr w:type="gramEnd"/>
      <w:r w:rsidR="00CE45A0" w:rsidRPr="00C85109">
        <w:rPr>
          <w:rFonts w:asciiTheme="minorHAnsi" w:hAnsiTheme="minorHAnsi" w:cstheme="minorHAnsi"/>
          <w:i/>
          <w:iCs/>
          <w:szCs w:val="21"/>
        </w:rPr>
        <w:t xml:space="preserve"> by The Royal Children’s Hospital, </w:t>
      </w:r>
      <w:proofErr w:type="spellStart"/>
      <w:r w:rsidR="00CE45A0" w:rsidRPr="00C85109">
        <w:rPr>
          <w:rFonts w:asciiTheme="minorHAnsi" w:hAnsiTheme="minorHAnsi" w:cstheme="minorHAnsi"/>
          <w:i/>
          <w:iCs/>
          <w:szCs w:val="21"/>
        </w:rPr>
        <w:t>Holmesglen</w:t>
      </w:r>
      <w:proofErr w:type="spellEnd"/>
      <w:r w:rsidR="00CE45A0" w:rsidRPr="00C85109">
        <w:rPr>
          <w:rFonts w:asciiTheme="minorHAnsi" w:hAnsiTheme="minorHAnsi" w:cstheme="minorHAnsi"/>
          <w:i/>
          <w:iCs/>
          <w:szCs w:val="21"/>
        </w:rPr>
        <w:t xml:space="preserve"> Institute and WISE Employment</w:t>
      </w:r>
      <w:r w:rsidR="00CE45A0" w:rsidRPr="00C85109">
        <w:rPr>
          <w:rFonts w:asciiTheme="minorHAnsi" w:hAnsiTheme="minorHAnsi" w:cstheme="minorHAnsi"/>
          <w:szCs w:val="21"/>
        </w:rPr>
        <w:t>. https://wiseemployment.com.au/success-stories/laura-reaps-benefits-of-the-integrated-practical-placement-program-a-joint-collaboration-with-the-royal-childrens-hospital-holmesglen-institute-and-wise-employment/</w:t>
      </w:r>
    </w:p>
    <w:p w14:paraId="1938A726" w14:textId="51AC0D03" w:rsidR="00E35816" w:rsidRPr="00C85109" w:rsidRDefault="00E35816" w:rsidP="00CE427B">
      <w:pPr>
        <w:spacing w:before="0" w:after="120" w:line="276" w:lineRule="auto"/>
        <w:ind w:left="851" w:hanging="491"/>
        <w:rPr>
          <w:rFonts w:asciiTheme="minorHAnsi" w:hAnsiTheme="minorHAnsi" w:cstheme="minorHAnsi"/>
          <w:szCs w:val="21"/>
        </w:rPr>
      </w:pPr>
      <w:r w:rsidRPr="00C85109">
        <w:rPr>
          <w:rFonts w:asciiTheme="minorHAnsi" w:hAnsiTheme="minorHAnsi" w:cstheme="minorHAnsi"/>
          <w:szCs w:val="21"/>
        </w:rPr>
        <w:t xml:space="preserve">Wilson, N. J., </w:t>
      </w:r>
      <w:proofErr w:type="spellStart"/>
      <w:r w:rsidRPr="00C85109">
        <w:rPr>
          <w:rFonts w:asciiTheme="minorHAnsi" w:hAnsiTheme="minorHAnsi" w:cstheme="minorHAnsi"/>
          <w:szCs w:val="21"/>
        </w:rPr>
        <w:t>Jaques</w:t>
      </w:r>
      <w:proofErr w:type="spellEnd"/>
      <w:r w:rsidRPr="00C85109">
        <w:rPr>
          <w:rFonts w:asciiTheme="minorHAnsi" w:hAnsiTheme="minorHAnsi" w:cstheme="minorHAnsi"/>
          <w:szCs w:val="21"/>
        </w:rPr>
        <w:t>, H., Johnson, A.</w:t>
      </w:r>
      <w:r w:rsidR="00C61A49" w:rsidRPr="00C85109">
        <w:rPr>
          <w:rFonts w:asciiTheme="minorHAnsi" w:hAnsiTheme="minorHAnsi" w:cstheme="minorHAnsi"/>
          <w:szCs w:val="21"/>
        </w:rPr>
        <w:t>, &amp;</w:t>
      </w:r>
      <w:r w:rsidRPr="00C85109">
        <w:rPr>
          <w:rFonts w:asciiTheme="minorHAnsi" w:hAnsiTheme="minorHAnsi" w:cstheme="minorHAnsi"/>
          <w:szCs w:val="21"/>
        </w:rPr>
        <w:t xml:space="preserve"> Brotherton, M. L. (2017). From </w:t>
      </w:r>
      <w:r w:rsidR="00C61A49" w:rsidRPr="00C85109">
        <w:rPr>
          <w:rFonts w:asciiTheme="minorHAnsi" w:hAnsiTheme="minorHAnsi" w:cstheme="minorHAnsi"/>
          <w:szCs w:val="21"/>
        </w:rPr>
        <w:t>social exclusion to supported inclusi</w:t>
      </w:r>
      <w:r w:rsidRPr="00C85109">
        <w:rPr>
          <w:rFonts w:asciiTheme="minorHAnsi" w:hAnsiTheme="minorHAnsi" w:cstheme="minorHAnsi"/>
          <w:szCs w:val="21"/>
        </w:rPr>
        <w:t xml:space="preserve">on: Adults </w:t>
      </w:r>
      <w:r w:rsidR="00C61A49" w:rsidRPr="00C85109">
        <w:rPr>
          <w:rFonts w:asciiTheme="minorHAnsi" w:hAnsiTheme="minorHAnsi" w:cstheme="minorHAnsi"/>
          <w:szCs w:val="21"/>
        </w:rPr>
        <w:t>with intellectual disability discuss their lived experience of a structured social gro</w:t>
      </w:r>
      <w:r w:rsidRPr="00C85109">
        <w:rPr>
          <w:rFonts w:asciiTheme="minorHAnsi" w:hAnsiTheme="minorHAnsi" w:cstheme="minorHAnsi"/>
          <w:szCs w:val="21"/>
        </w:rPr>
        <w:t>up</w:t>
      </w:r>
      <w:r w:rsidR="00C61A49" w:rsidRPr="00C85109">
        <w:rPr>
          <w:rFonts w:asciiTheme="minorHAnsi" w:hAnsiTheme="minorHAnsi" w:cstheme="minorHAnsi"/>
          <w:szCs w:val="21"/>
        </w:rPr>
        <w:t>.</w:t>
      </w:r>
      <w:r w:rsidRPr="00C85109">
        <w:rPr>
          <w:rFonts w:asciiTheme="minorHAnsi" w:hAnsiTheme="minorHAnsi" w:cstheme="minorHAnsi"/>
          <w:szCs w:val="21"/>
        </w:rPr>
        <w:t xml:space="preserve"> </w:t>
      </w:r>
      <w:r w:rsidRPr="00C85109">
        <w:rPr>
          <w:rFonts w:asciiTheme="minorHAnsi" w:hAnsiTheme="minorHAnsi" w:cstheme="minorHAnsi"/>
          <w:i/>
          <w:iCs/>
          <w:szCs w:val="21"/>
        </w:rPr>
        <w:t>Journal of Applied Research in Intellectual Disabilities</w:t>
      </w:r>
      <w:r w:rsidRPr="00C85109">
        <w:rPr>
          <w:rFonts w:asciiTheme="minorHAnsi" w:hAnsiTheme="minorHAnsi" w:cstheme="minorHAnsi"/>
          <w:szCs w:val="21"/>
        </w:rPr>
        <w:t xml:space="preserve">, </w:t>
      </w:r>
      <w:r w:rsidRPr="00C85109">
        <w:rPr>
          <w:rFonts w:asciiTheme="minorHAnsi" w:hAnsiTheme="minorHAnsi" w:cstheme="minorHAnsi"/>
          <w:i/>
          <w:iCs/>
          <w:szCs w:val="21"/>
        </w:rPr>
        <w:t>30</w:t>
      </w:r>
      <w:r w:rsidR="006750E7" w:rsidRPr="00C85109">
        <w:rPr>
          <w:rFonts w:asciiTheme="minorHAnsi" w:hAnsiTheme="minorHAnsi" w:cstheme="minorHAnsi"/>
          <w:szCs w:val="21"/>
        </w:rPr>
        <w:t>(5)</w:t>
      </w:r>
      <w:r w:rsidR="00C61A49" w:rsidRPr="00C85109">
        <w:rPr>
          <w:rFonts w:asciiTheme="minorHAnsi" w:hAnsiTheme="minorHAnsi" w:cstheme="minorHAnsi"/>
          <w:szCs w:val="21"/>
        </w:rPr>
        <w:t>,</w:t>
      </w:r>
      <w:r w:rsidRPr="00C85109">
        <w:rPr>
          <w:rFonts w:asciiTheme="minorHAnsi" w:hAnsiTheme="minorHAnsi" w:cstheme="minorHAnsi"/>
          <w:szCs w:val="21"/>
        </w:rPr>
        <w:t xml:space="preserve"> 847</w:t>
      </w:r>
      <w:r w:rsidR="00C61A49" w:rsidRPr="00C85109">
        <w:rPr>
          <w:rFonts w:asciiTheme="minorHAnsi" w:hAnsiTheme="minorHAnsi" w:cstheme="minorHAnsi"/>
          <w:szCs w:val="21"/>
        </w:rPr>
        <w:t>-</w:t>
      </w:r>
      <w:r w:rsidRPr="00C85109">
        <w:rPr>
          <w:rFonts w:asciiTheme="minorHAnsi" w:hAnsiTheme="minorHAnsi" w:cstheme="minorHAnsi"/>
          <w:szCs w:val="21"/>
        </w:rPr>
        <w:t>858</w:t>
      </w:r>
      <w:r w:rsidR="00C61A49" w:rsidRPr="00C85109">
        <w:rPr>
          <w:rFonts w:asciiTheme="minorHAnsi" w:hAnsiTheme="minorHAnsi" w:cstheme="minorHAnsi"/>
          <w:szCs w:val="21"/>
        </w:rPr>
        <w:t>.</w:t>
      </w:r>
      <w:r w:rsidR="00B75BED" w:rsidRPr="00C85109">
        <w:rPr>
          <w:rFonts w:asciiTheme="minorHAnsi" w:hAnsiTheme="minorHAnsi" w:cstheme="minorHAnsi"/>
          <w:szCs w:val="21"/>
        </w:rPr>
        <w:t xml:space="preserve"> https://doi.org/10.1111/jar.12275</w:t>
      </w:r>
    </w:p>
    <w:p w14:paraId="2D712BB5" w14:textId="0F50B820" w:rsidR="00E35816" w:rsidRPr="00C85109" w:rsidRDefault="00E35816" w:rsidP="00CE427B">
      <w:pPr>
        <w:pStyle w:val="EndNoteBibliography"/>
        <w:spacing w:after="120" w:line="276" w:lineRule="auto"/>
        <w:ind w:left="851" w:hanging="491"/>
        <w:rPr>
          <w:rFonts w:asciiTheme="minorHAnsi" w:hAnsiTheme="minorHAnsi" w:cstheme="minorHAnsi"/>
          <w:sz w:val="21"/>
          <w:szCs w:val="21"/>
        </w:rPr>
      </w:pPr>
      <w:r w:rsidRPr="00C85109">
        <w:rPr>
          <w:rFonts w:asciiTheme="minorHAnsi" w:hAnsiTheme="minorHAnsi" w:cstheme="minorHAnsi"/>
          <w:sz w:val="21"/>
          <w:szCs w:val="21"/>
        </w:rPr>
        <w:t>Winn, S., &amp; Hay, I. (2009). Transition from school for youths with a disability: Issues and challenges.</w:t>
      </w:r>
      <w:r w:rsidR="00FC3047" w:rsidRPr="00C85109">
        <w:rPr>
          <w:rFonts w:asciiTheme="minorHAnsi" w:hAnsiTheme="minorHAnsi" w:cstheme="minorHAnsi"/>
          <w:sz w:val="21"/>
          <w:szCs w:val="21"/>
        </w:rPr>
        <w:t xml:space="preserve"> </w:t>
      </w:r>
      <w:r w:rsidRPr="00C85109">
        <w:rPr>
          <w:rFonts w:asciiTheme="minorHAnsi" w:hAnsiTheme="minorHAnsi" w:cstheme="minorHAnsi"/>
          <w:i/>
          <w:sz w:val="21"/>
          <w:szCs w:val="21"/>
        </w:rPr>
        <w:t>Disability &amp; Society, 24</w:t>
      </w:r>
      <w:r w:rsidRPr="00C85109">
        <w:rPr>
          <w:rFonts w:asciiTheme="minorHAnsi" w:hAnsiTheme="minorHAnsi" w:cstheme="minorHAnsi"/>
          <w:sz w:val="21"/>
          <w:szCs w:val="21"/>
        </w:rPr>
        <w:t xml:space="preserve">(1), 103-115. </w:t>
      </w:r>
      <w:r w:rsidR="00802660" w:rsidRPr="00C85109">
        <w:rPr>
          <w:rFonts w:asciiTheme="minorHAnsi" w:hAnsiTheme="minorHAnsi" w:cstheme="minorHAnsi"/>
          <w:sz w:val="21"/>
          <w:szCs w:val="21"/>
        </w:rPr>
        <w:t>https://doi.org/10.1080/09687590802535725</w:t>
      </w:r>
    </w:p>
    <w:bookmarkEnd w:id="222"/>
    <w:p w14:paraId="68B8259B" w14:textId="46E19288" w:rsidR="005E235B" w:rsidRPr="00C85109" w:rsidRDefault="00E35816" w:rsidP="00991544">
      <w:pPr>
        <w:pStyle w:val="EndNoteBibliography"/>
        <w:spacing w:after="120" w:line="276" w:lineRule="auto"/>
        <w:ind w:left="851" w:hanging="491"/>
        <w:rPr>
          <w:rFonts w:asciiTheme="minorHAnsi" w:hAnsiTheme="minorHAnsi" w:cstheme="minorHAnsi"/>
          <w:color w:val="000000"/>
          <w:sz w:val="21"/>
          <w:szCs w:val="21"/>
        </w:rPr>
      </w:pPr>
      <w:r w:rsidRPr="00C85109">
        <w:rPr>
          <w:rFonts w:asciiTheme="minorHAnsi" w:hAnsiTheme="minorHAnsi" w:cstheme="minorHAnsi"/>
          <w:sz w:val="21"/>
          <w:szCs w:val="21"/>
        </w:rPr>
        <w:t xml:space="preserve">Zhang, Y., Haddad, E., Torres, B., &amp; Chen, C. (2011). The reciprocal relationships among parents’ expectations, adolescents’ expectations, and adolescents’ achievement: A two-wave longitudinal analysis of the NELS data. </w:t>
      </w:r>
      <w:r w:rsidRPr="00C85109">
        <w:rPr>
          <w:rFonts w:asciiTheme="minorHAnsi" w:hAnsiTheme="minorHAnsi" w:cstheme="minorHAnsi"/>
          <w:i/>
          <w:sz w:val="21"/>
          <w:szCs w:val="21"/>
        </w:rPr>
        <w:t xml:space="preserve">Journal of </w:t>
      </w:r>
      <w:r w:rsidR="00916125" w:rsidRPr="00C85109">
        <w:rPr>
          <w:rFonts w:asciiTheme="minorHAnsi" w:hAnsiTheme="minorHAnsi" w:cstheme="minorHAnsi"/>
          <w:i/>
          <w:sz w:val="21"/>
          <w:szCs w:val="21"/>
        </w:rPr>
        <w:t>Y</w:t>
      </w:r>
      <w:r w:rsidRPr="00C85109">
        <w:rPr>
          <w:rFonts w:asciiTheme="minorHAnsi" w:hAnsiTheme="minorHAnsi" w:cstheme="minorHAnsi"/>
          <w:i/>
          <w:sz w:val="21"/>
          <w:szCs w:val="21"/>
        </w:rPr>
        <w:t xml:space="preserve">outh and </w:t>
      </w:r>
      <w:r w:rsidR="00916125" w:rsidRPr="00C85109">
        <w:rPr>
          <w:rFonts w:asciiTheme="minorHAnsi" w:hAnsiTheme="minorHAnsi" w:cstheme="minorHAnsi"/>
          <w:i/>
          <w:sz w:val="21"/>
          <w:szCs w:val="21"/>
        </w:rPr>
        <w:t>A</w:t>
      </w:r>
      <w:r w:rsidRPr="00C85109">
        <w:rPr>
          <w:rFonts w:asciiTheme="minorHAnsi" w:hAnsiTheme="minorHAnsi" w:cstheme="minorHAnsi"/>
          <w:i/>
          <w:sz w:val="21"/>
          <w:szCs w:val="21"/>
        </w:rPr>
        <w:t>dolescence, 40</w:t>
      </w:r>
      <w:r w:rsidRPr="00C85109">
        <w:rPr>
          <w:rFonts w:asciiTheme="minorHAnsi" w:hAnsiTheme="minorHAnsi" w:cstheme="minorHAnsi"/>
          <w:sz w:val="21"/>
          <w:szCs w:val="21"/>
        </w:rPr>
        <w:t>(4), 479-489.</w:t>
      </w:r>
      <w:r w:rsidR="00B3758C" w:rsidRPr="00C85109">
        <w:rPr>
          <w:rFonts w:asciiTheme="minorHAnsi" w:hAnsiTheme="minorHAnsi" w:cstheme="minorHAnsi"/>
          <w:sz w:val="21"/>
          <w:szCs w:val="21"/>
        </w:rPr>
        <w:t xml:space="preserve"> https://doi.org/10.1007/s10964-010-9568-8</w:t>
      </w:r>
    </w:p>
    <w:sectPr w:rsidR="005E235B" w:rsidRPr="00C85109" w:rsidSect="00495D9F">
      <w:pgSz w:w="11907" w:h="16840" w:code="9"/>
      <w:pgMar w:top="1440" w:right="1440" w:bottom="1440" w:left="1440" w:header="431"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0DD352" w14:textId="77777777" w:rsidR="00125D38" w:rsidRDefault="00125D38" w:rsidP="00FA01AA">
      <w:r>
        <w:separator/>
      </w:r>
    </w:p>
  </w:endnote>
  <w:endnote w:type="continuationSeparator" w:id="0">
    <w:p w14:paraId="62AA76C3" w14:textId="77777777" w:rsidR="00125D38" w:rsidRDefault="00125D38" w:rsidP="00FA0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doni MT">
    <w:panose1 w:val="020706030806060202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Open Sans">
    <w:altName w:val="Segoe UI"/>
    <w:charset w:val="00"/>
    <w:family w:val="swiss"/>
    <w:pitch w:val="variable"/>
    <w:sig w:usb0="E00002EF" w:usb1="4000205B" w:usb2="00000028" w:usb3="00000000" w:csb0="0000019F" w:csb1="00000000"/>
  </w:font>
  <w:font w:name="Times">
    <w:panose1 w:val="02020603050405020304"/>
    <w:charset w:val="00"/>
    <w:family w:val="auto"/>
    <w:pitch w:val="variable"/>
    <w:sig w:usb0="E00002FF" w:usb1="5000205A"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Arial Nova Light">
    <w:charset w:val="00"/>
    <w:family w:val="swiss"/>
    <w:pitch w:val="variable"/>
    <w:sig w:usb0="2000028F" w:usb1="00000002" w:usb2="00000000" w:usb3="00000000" w:csb0="0000019F" w:csb1="00000000"/>
  </w:font>
  <w:font w:name="-webkit-standard">
    <w:altName w:val="Cambria"/>
    <w:panose1 w:val="00000000000000000000"/>
    <w:charset w:val="00"/>
    <w:family w:val="roman"/>
    <w:notTrueType/>
    <w:pitch w:val="default"/>
  </w:font>
  <w:font w:name="Times-Roman">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dvhel_light">
    <w:altName w:val="Calibri"/>
    <w:panose1 w:val="00000000000000000000"/>
    <w:charset w:val="00"/>
    <w:family w:val="swiss"/>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Times-Italic">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86149138"/>
      <w:docPartObj>
        <w:docPartGallery w:val="Page Numbers (Bottom of Page)"/>
        <w:docPartUnique/>
      </w:docPartObj>
    </w:sdtPr>
    <w:sdtEndPr>
      <w:rPr>
        <w:noProof/>
      </w:rPr>
    </w:sdtEndPr>
    <w:sdtContent>
      <w:p w14:paraId="30E7B912" w14:textId="77777777" w:rsidR="000439FE" w:rsidRDefault="000439FE" w:rsidP="00EE231C">
        <w:pPr>
          <w:pStyle w:val="Footer"/>
        </w:pPr>
        <w:r w:rsidRPr="0028088E">
          <w:fldChar w:fldCharType="begin"/>
        </w:r>
        <w:r w:rsidRPr="0028088E">
          <w:instrText xml:space="preserve"> PAGE   \* MERGEFORMAT </w:instrText>
        </w:r>
        <w:r w:rsidRPr="0028088E">
          <w:fldChar w:fldCharType="separate"/>
        </w:r>
        <w:r>
          <w:rPr>
            <w:noProof/>
          </w:rPr>
          <w:t>2</w:t>
        </w:r>
        <w:r w:rsidRPr="0028088E">
          <w:rPr>
            <w:noProof/>
          </w:rPr>
          <w:fldChar w:fldCharType="end"/>
        </w:r>
      </w:p>
    </w:sdtContent>
  </w:sdt>
  <w:p w14:paraId="44B3B1DE" w14:textId="77777777" w:rsidR="000439FE" w:rsidRDefault="000439FE" w:rsidP="00EE23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06555774"/>
      <w:docPartObj>
        <w:docPartGallery w:val="Page Numbers (Bottom of Page)"/>
        <w:docPartUnique/>
      </w:docPartObj>
    </w:sdtPr>
    <w:sdtEndPr>
      <w:rPr>
        <w:noProof/>
        <w:sz w:val="20"/>
        <w:szCs w:val="20"/>
      </w:rPr>
    </w:sdtEndPr>
    <w:sdtContent>
      <w:p w14:paraId="0B3638D7" w14:textId="77777777" w:rsidR="000439FE" w:rsidRPr="00371E55" w:rsidRDefault="000439FE">
        <w:pPr>
          <w:pStyle w:val="Footer"/>
          <w:jc w:val="right"/>
          <w:rPr>
            <w:sz w:val="20"/>
            <w:szCs w:val="20"/>
          </w:rPr>
        </w:pPr>
        <w:r w:rsidRPr="00371E55">
          <w:rPr>
            <w:sz w:val="20"/>
            <w:szCs w:val="20"/>
          </w:rPr>
          <w:fldChar w:fldCharType="begin"/>
        </w:r>
        <w:r w:rsidRPr="00371E55">
          <w:rPr>
            <w:sz w:val="20"/>
            <w:szCs w:val="20"/>
          </w:rPr>
          <w:instrText xml:space="preserve"> PAGE   \* MERGEFORMAT </w:instrText>
        </w:r>
        <w:r w:rsidRPr="00371E55">
          <w:rPr>
            <w:sz w:val="20"/>
            <w:szCs w:val="20"/>
          </w:rPr>
          <w:fldChar w:fldCharType="separate"/>
        </w:r>
        <w:r w:rsidRPr="00371E55">
          <w:rPr>
            <w:noProof/>
            <w:sz w:val="20"/>
            <w:szCs w:val="20"/>
          </w:rPr>
          <w:t>2</w:t>
        </w:r>
        <w:r w:rsidRPr="00371E55">
          <w:rPr>
            <w:noProof/>
            <w:sz w:val="20"/>
            <w:szCs w:val="20"/>
          </w:rPr>
          <w:fldChar w:fldCharType="end"/>
        </w:r>
      </w:p>
    </w:sdtContent>
  </w:sdt>
  <w:p w14:paraId="3A2F4681" w14:textId="77777777" w:rsidR="000439FE" w:rsidRDefault="000439F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63063606"/>
      <w:docPartObj>
        <w:docPartGallery w:val="Page Numbers (Bottom of Page)"/>
        <w:docPartUnique/>
      </w:docPartObj>
    </w:sdtPr>
    <w:sdtEndPr>
      <w:rPr>
        <w:noProof/>
        <w:sz w:val="20"/>
        <w:szCs w:val="20"/>
      </w:rPr>
    </w:sdtEndPr>
    <w:sdtContent>
      <w:p w14:paraId="3AC005C1" w14:textId="77777777" w:rsidR="000439FE" w:rsidRPr="00073E98" w:rsidRDefault="000439FE">
        <w:pPr>
          <w:pStyle w:val="Footer"/>
          <w:jc w:val="right"/>
          <w:rPr>
            <w:sz w:val="20"/>
            <w:szCs w:val="20"/>
          </w:rPr>
        </w:pPr>
        <w:r w:rsidRPr="00073E98">
          <w:rPr>
            <w:sz w:val="20"/>
            <w:szCs w:val="20"/>
          </w:rPr>
          <w:fldChar w:fldCharType="begin"/>
        </w:r>
        <w:r w:rsidRPr="00073E98">
          <w:rPr>
            <w:sz w:val="20"/>
            <w:szCs w:val="20"/>
          </w:rPr>
          <w:instrText xml:space="preserve"> PAGE   \* MERGEFORMAT </w:instrText>
        </w:r>
        <w:r w:rsidRPr="00073E98">
          <w:rPr>
            <w:sz w:val="20"/>
            <w:szCs w:val="20"/>
          </w:rPr>
          <w:fldChar w:fldCharType="separate"/>
        </w:r>
        <w:r w:rsidRPr="00073E98">
          <w:rPr>
            <w:noProof/>
            <w:sz w:val="20"/>
            <w:szCs w:val="20"/>
          </w:rPr>
          <w:t>2</w:t>
        </w:r>
        <w:r w:rsidRPr="00073E98">
          <w:rPr>
            <w:noProof/>
            <w:sz w:val="20"/>
            <w:szCs w:val="20"/>
          </w:rPr>
          <w:fldChar w:fldCharType="end"/>
        </w:r>
      </w:p>
    </w:sdtContent>
  </w:sdt>
  <w:p w14:paraId="73A98D49" w14:textId="77777777" w:rsidR="000439FE" w:rsidRDefault="000439F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23899795"/>
      <w:docPartObj>
        <w:docPartGallery w:val="Page Numbers (Bottom of Page)"/>
        <w:docPartUnique/>
      </w:docPartObj>
    </w:sdtPr>
    <w:sdtEndPr>
      <w:rPr>
        <w:noProof/>
        <w:sz w:val="20"/>
        <w:szCs w:val="20"/>
      </w:rPr>
    </w:sdtEndPr>
    <w:sdtContent>
      <w:p w14:paraId="1F19786D" w14:textId="77777777" w:rsidR="000439FE" w:rsidRPr="00A03E3A" w:rsidRDefault="000439FE">
        <w:pPr>
          <w:pStyle w:val="Footer"/>
          <w:jc w:val="right"/>
          <w:rPr>
            <w:sz w:val="20"/>
            <w:szCs w:val="20"/>
          </w:rPr>
        </w:pPr>
        <w:r w:rsidRPr="00A03E3A">
          <w:rPr>
            <w:sz w:val="20"/>
            <w:szCs w:val="20"/>
          </w:rPr>
          <w:fldChar w:fldCharType="begin"/>
        </w:r>
        <w:r w:rsidRPr="00A03E3A">
          <w:rPr>
            <w:sz w:val="20"/>
            <w:szCs w:val="20"/>
          </w:rPr>
          <w:instrText xml:space="preserve"> PAGE   \* MERGEFORMAT </w:instrText>
        </w:r>
        <w:r w:rsidRPr="00A03E3A">
          <w:rPr>
            <w:sz w:val="20"/>
            <w:szCs w:val="20"/>
          </w:rPr>
          <w:fldChar w:fldCharType="separate"/>
        </w:r>
        <w:r w:rsidRPr="00A03E3A">
          <w:rPr>
            <w:noProof/>
            <w:sz w:val="20"/>
            <w:szCs w:val="20"/>
          </w:rPr>
          <w:t>2</w:t>
        </w:r>
        <w:r w:rsidRPr="00A03E3A">
          <w:rPr>
            <w:noProof/>
            <w:sz w:val="20"/>
            <w:szCs w:val="20"/>
          </w:rPr>
          <w:fldChar w:fldCharType="end"/>
        </w:r>
      </w:p>
    </w:sdtContent>
  </w:sdt>
  <w:p w14:paraId="2F2DC005" w14:textId="77777777" w:rsidR="000439FE" w:rsidRDefault="000439F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CE2C92" w14:textId="77777777" w:rsidR="000439FE" w:rsidRDefault="000439FE">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74104389"/>
      <w:docPartObj>
        <w:docPartGallery w:val="Page Numbers (Bottom of Page)"/>
        <w:docPartUnique/>
      </w:docPartObj>
    </w:sdtPr>
    <w:sdtEndPr>
      <w:rPr>
        <w:noProof/>
        <w:sz w:val="20"/>
        <w:szCs w:val="20"/>
      </w:rPr>
    </w:sdtEndPr>
    <w:sdtContent>
      <w:p w14:paraId="5679EAC6" w14:textId="77777777" w:rsidR="000439FE" w:rsidRPr="00C60B2F" w:rsidRDefault="000439FE">
        <w:pPr>
          <w:pStyle w:val="Footer"/>
          <w:jc w:val="right"/>
          <w:rPr>
            <w:sz w:val="20"/>
            <w:szCs w:val="20"/>
          </w:rPr>
        </w:pPr>
        <w:r w:rsidRPr="00C60B2F">
          <w:rPr>
            <w:sz w:val="20"/>
            <w:szCs w:val="20"/>
          </w:rPr>
          <w:fldChar w:fldCharType="begin"/>
        </w:r>
        <w:r w:rsidRPr="00C60B2F">
          <w:rPr>
            <w:sz w:val="20"/>
            <w:szCs w:val="20"/>
          </w:rPr>
          <w:instrText xml:space="preserve"> PAGE   \* MERGEFORMAT </w:instrText>
        </w:r>
        <w:r w:rsidRPr="00C60B2F">
          <w:rPr>
            <w:sz w:val="20"/>
            <w:szCs w:val="20"/>
          </w:rPr>
          <w:fldChar w:fldCharType="separate"/>
        </w:r>
        <w:r w:rsidRPr="00C60B2F">
          <w:rPr>
            <w:noProof/>
            <w:sz w:val="20"/>
            <w:szCs w:val="20"/>
          </w:rPr>
          <w:t>2</w:t>
        </w:r>
        <w:r w:rsidRPr="00C60B2F">
          <w:rPr>
            <w:noProof/>
            <w:sz w:val="20"/>
            <w:szCs w:val="20"/>
          </w:rPr>
          <w:fldChar w:fldCharType="end"/>
        </w:r>
      </w:p>
    </w:sdtContent>
  </w:sdt>
  <w:p w14:paraId="1E307F61" w14:textId="77777777" w:rsidR="000439FE" w:rsidRDefault="000439FE">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553034" w14:textId="77777777" w:rsidR="000439FE" w:rsidRDefault="000439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B2256F" w14:textId="77777777" w:rsidR="00125D38" w:rsidRDefault="00125D38" w:rsidP="00FA01AA">
      <w:r>
        <w:separator/>
      </w:r>
    </w:p>
  </w:footnote>
  <w:footnote w:type="continuationSeparator" w:id="0">
    <w:p w14:paraId="0CD28176" w14:textId="77777777" w:rsidR="00125D38" w:rsidRDefault="00125D38" w:rsidP="00FA01AA">
      <w:r>
        <w:continuationSeparator/>
      </w:r>
    </w:p>
  </w:footnote>
  <w:footnote w:id="1">
    <w:p w14:paraId="19D56B87" w14:textId="77777777" w:rsidR="000439FE" w:rsidRPr="005E1338" w:rsidRDefault="000439FE" w:rsidP="00DC6F4D">
      <w:pPr>
        <w:pStyle w:val="FootnoteText"/>
        <w:jc w:val="both"/>
        <w:rPr>
          <w:lang w:val="en-AU"/>
        </w:rPr>
      </w:pPr>
      <w:r>
        <w:rPr>
          <w:rStyle w:val="FootnoteReference"/>
        </w:rPr>
        <w:footnoteRef/>
      </w:r>
      <w:r>
        <w:t xml:space="preserve"> </w:t>
      </w:r>
      <w:r w:rsidRPr="00A535EE">
        <w:t>Some of the studies referenced throughout are based on research in the US and tend to use the term ‘college’. While there are distinctions in relation to course structures, ‘</w:t>
      </w:r>
      <w:r>
        <w:t>c</w:t>
      </w:r>
      <w:r w:rsidRPr="00A535EE">
        <w:t xml:space="preserve">ollege’ and ‘university’ are frequently interchangeable and simply refer to </w:t>
      </w:r>
      <w:r>
        <w:t>education</w:t>
      </w:r>
      <w:r w:rsidRPr="00A535EE">
        <w:t xml:space="preserve"> at the tertiary level.</w:t>
      </w:r>
    </w:p>
  </w:footnote>
  <w:footnote w:id="2">
    <w:p w14:paraId="16FE5979" w14:textId="77777777" w:rsidR="000439FE" w:rsidRPr="005E1338" w:rsidRDefault="000439FE" w:rsidP="00CD0575">
      <w:pPr>
        <w:pStyle w:val="FootnoteText"/>
        <w:jc w:val="both"/>
        <w:rPr>
          <w:lang w:val="en-AU"/>
        </w:rPr>
      </w:pPr>
      <w:r>
        <w:rPr>
          <w:rStyle w:val="FootnoteReference"/>
        </w:rPr>
        <w:footnoteRef/>
      </w:r>
      <w:r>
        <w:t xml:space="preserve"> </w:t>
      </w:r>
      <w:r w:rsidRPr="00A535EE">
        <w:t>Some of the studies referenced throughout are based on research in the US and tend to use the term ‘college’. While there are distinctions in relation to course structures, ‘</w:t>
      </w:r>
      <w:r>
        <w:t>c</w:t>
      </w:r>
      <w:r w:rsidRPr="00A535EE">
        <w:t xml:space="preserve">ollege’ and ‘university’ are frequently interchangeable and simply refer to </w:t>
      </w:r>
      <w:r>
        <w:t>education</w:t>
      </w:r>
      <w:r w:rsidRPr="00A535EE">
        <w:t xml:space="preserve"> at the tertiary level.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1E42DF" w14:textId="77777777" w:rsidR="000439FE" w:rsidRPr="00B46B42" w:rsidRDefault="000439FE" w:rsidP="00B46B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B1EC5A" w14:textId="77777777" w:rsidR="000439FE" w:rsidRPr="00341F0F" w:rsidRDefault="000439FE" w:rsidP="00341F0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D24383" w14:textId="77777777" w:rsidR="000439FE" w:rsidRPr="00AA271F" w:rsidRDefault="000439FE" w:rsidP="00AA271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A48B9D" w14:textId="77777777" w:rsidR="000439FE" w:rsidRDefault="000439F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72DBB7" w14:textId="77777777" w:rsidR="000439FE" w:rsidRPr="00411C6F" w:rsidRDefault="000439FE" w:rsidP="00411C6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5843CC" w14:textId="77777777" w:rsidR="000439FE" w:rsidRDefault="000439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73456"/>
    <w:multiLevelType w:val="hybridMultilevel"/>
    <w:tmpl w:val="6F3EFFF6"/>
    <w:lvl w:ilvl="0" w:tplc="2A5C5CF0">
      <w:start w:val="1"/>
      <w:numFmt w:val="bullet"/>
      <w:pStyle w:val="Bullet2"/>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8B72D9"/>
    <w:multiLevelType w:val="hybridMultilevel"/>
    <w:tmpl w:val="76260A3A"/>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2" w15:restartNumberingAfterBreak="0">
    <w:nsid w:val="03EA5577"/>
    <w:multiLevelType w:val="hybridMultilevel"/>
    <w:tmpl w:val="FA226D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51C3C74"/>
    <w:multiLevelType w:val="hybridMultilevel"/>
    <w:tmpl w:val="FAAC57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A776F3"/>
    <w:multiLevelType w:val="hybridMultilevel"/>
    <w:tmpl w:val="1DE06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865860"/>
    <w:multiLevelType w:val="hybridMultilevel"/>
    <w:tmpl w:val="6786D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D22EDD"/>
    <w:multiLevelType w:val="hybridMultilevel"/>
    <w:tmpl w:val="F162FD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02D4BC3"/>
    <w:multiLevelType w:val="hybridMultilevel"/>
    <w:tmpl w:val="01F8D4A8"/>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03F7204"/>
    <w:multiLevelType w:val="hybridMultilevel"/>
    <w:tmpl w:val="CC545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3C4453"/>
    <w:multiLevelType w:val="hybridMultilevel"/>
    <w:tmpl w:val="A7B0A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936390"/>
    <w:multiLevelType w:val="hybridMultilevel"/>
    <w:tmpl w:val="89200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7707C7"/>
    <w:multiLevelType w:val="hybridMultilevel"/>
    <w:tmpl w:val="025617F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2" w15:restartNumberingAfterBreak="0">
    <w:nsid w:val="169E7026"/>
    <w:multiLevelType w:val="hybridMultilevel"/>
    <w:tmpl w:val="44A0151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72D3B74"/>
    <w:multiLevelType w:val="hybridMultilevel"/>
    <w:tmpl w:val="73E47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72D3FF9"/>
    <w:multiLevelType w:val="hybridMultilevel"/>
    <w:tmpl w:val="ED76885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5" w15:restartNumberingAfterBreak="0">
    <w:nsid w:val="177A6828"/>
    <w:multiLevelType w:val="hybridMultilevel"/>
    <w:tmpl w:val="13701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8437FFE"/>
    <w:multiLevelType w:val="hybridMultilevel"/>
    <w:tmpl w:val="F7FE6FA4"/>
    <w:lvl w:ilvl="0" w:tplc="8436AA0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18DD79E5"/>
    <w:multiLevelType w:val="hybridMultilevel"/>
    <w:tmpl w:val="2C30B65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8" w15:restartNumberingAfterBreak="0">
    <w:nsid w:val="196F6107"/>
    <w:multiLevelType w:val="hybridMultilevel"/>
    <w:tmpl w:val="1F4C26E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9" w15:restartNumberingAfterBreak="0">
    <w:nsid w:val="1C756D03"/>
    <w:multiLevelType w:val="hybridMultilevel"/>
    <w:tmpl w:val="CCFC6E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E392C8A"/>
    <w:multiLevelType w:val="hybridMultilevel"/>
    <w:tmpl w:val="E3584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0396159"/>
    <w:multiLevelType w:val="hybridMultilevel"/>
    <w:tmpl w:val="A59863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0EC3ED7"/>
    <w:multiLevelType w:val="hybridMultilevel"/>
    <w:tmpl w:val="E514D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21E19ED"/>
    <w:multiLevelType w:val="hybridMultilevel"/>
    <w:tmpl w:val="79120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5585A44"/>
    <w:multiLevelType w:val="hybridMultilevel"/>
    <w:tmpl w:val="78B661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6A65FB3"/>
    <w:multiLevelType w:val="hybridMultilevel"/>
    <w:tmpl w:val="64EE8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9027170"/>
    <w:multiLevelType w:val="hybridMultilevel"/>
    <w:tmpl w:val="6F9C2904"/>
    <w:lvl w:ilvl="0" w:tplc="0D5E1348">
      <w:start w:val="1"/>
      <w:numFmt w:val="bullet"/>
      <w:lvlText w:val=""/>
      <w:lvlJc w:val="left"/>
      <w:pPr>
        <w:ind w:left="720" w:hanging="360"/>
      </w:pPr>
      <w:rPr>
        <w:rFonts w:ascii="Symbol" w:hAnsi="Symbol" w:hint="default"/>
      </w:rPr>
    </w:lvl>
    <w:lvl w:ilvl="1" w:tplc="FED6FCAC">
      <w:start w:val="1"/>
      <w:numFmt w:val="bullet"/>
      <w:lvlText w:val="o"/>
      <w:lvlJc w:val="left"/>
      <w:pPr>
        <w:ind w:left="1440" w:hanging="360"/>
      </w:pPr>
      <w:rPr>
        <w:rFonts w:ascii="Courier New" w:hAnsi="Courier New" w:hint="default"/>
      </w:rPr>
    </w:lvl>
    <w:lvl w:ilvl="2" w:tplc="1D7A1DFE">
      <w:start w:val="1"/>
      <w:numFmt w:val="bullet"/>
      <w:lvlText w:val=""/>
      <w:lvlJc w:val="left"/>
      <w:pPr>
        <w:ind w:left="2160" w:hanging="360"/>
      </w:pPr>
      <w:rPr>
        <w:rFonts w:ascii="Wingdings" w:hAnsi="Wingdings" w:hint="default"/>
      </w:rPr>
    </w:lvl>
    <w:lvl w:ilvl="3" w:tplc="FC608108">
      <w:start w:val="1"/>
      <w:numFmt w:val="bullet"/>
      <w:lvlText w:val=""/>
      <w:lvlJc w:val="left"/>
      <w:pPr>
        <w:ind w:left="2880" w:hanging="360"/>
      </w:pPr>
      <w:rPr>
        <w:rFonts w:ascii="Symbol" w:hAnsi="Symbol" w:hint="default"/>
      </w:rPr>
    </w:lvl>
    <w:lvl w:ilvl="4" w:tplc="B40258CE">
      <w:start w:val="1"/>
      <w:numFmt w:val="bullet"/>
      <w:lvlText w:val="o"/>
      <w:lvlJc w:val="left"/>
      <w:pPr>
        <w:ind w:left="3600" w:hanging="360"/>
      </w:pPr>
      <w:rPr>
        <w:rFonts w:ascii="Courier New" w:hAnsi="Courier New" w:hint="default"/>
      </w:rPr>
    </w:lvl>
    <w:lvl w:ilvl="5" w:tplc="6F80EF36">
      <w:start w:val="1"/>
      <w:numFmt w:val="bullet"/>
      <w:lvlText w:val=""/>
      <w:lvlJc w:val="left"/>
      <w:pPr>
        <w:ind w:left="4320" w:hanging="360"/>
      </w:pPr>
      <w:rPr>
        <w:rFonts w:ascii="Wingdings" w:hAnsi="Wingdings" w:hint="default"/>
      </w:rPr>
    </w:lvl>
    <w:lvl w:ilvl="6" w:tplc="7D28C5CE">
      <w:start w:val="1"/>
      <w:numFmt w:val="bullet"/>
      <w:lvlText w:val=""/>
      <w:lvlJc w:val="left"/>
      <w:pPr>
        <w:ind w:left="5040" w:hanging="360"/>
      </w:pPr>
      <w:rPr>
        <w:rFonts w:ascii="Symbol" w:hAnsi="Symbol" w:hint="default"/>
      </w:rPr>
    </w:lvl>
    <w:lvl w:ilvl="7" w:tplc="17B24FDC">
      <w:start w:val="1"/>
      <w:numFmt w:val="bullet"/>
      <w:lvlText w:val="o"/>
      <w:lvlJc w:val="left"/>
      <w:pPr>
        <w:ind w:left="5760" w:hanging="360"/>
      </w:pPr>
      <w:rPr>
        <w:rFonts w:ascii="Courier New" w:hAnsi="Courier New" w:hint="default"/>
      </w:rPr>
    </w:lvl>
    <w:lvl w:ilvl="8" w:tplc="233AD548">
      <w:start w:val="1"/>
      <w:numFmt w:val="bullet"/>
      <w:lvlText w:val=""/>
      <w:lvlJc w:val="left"/>
      <w:pPr>
        <w:ind w:left="6480" w:hanging="360"/>
      </w:pPr>
      <w:rPr>
        <w:rFonts w:ascii="Wingdings" w:hAnsi="Wingdings" w:hint="default"/>
      </w:rPr>
    </w:lvl>
  </w:abstractNum>
  <w:abstractNum w:abstractNumId="27" w15:restartNumberingAfterBreak="0">
    <w:nsid w:val="2AD323FF"/>
    <w:multiLevelType w:val="multilevel"/>
    <w:tmpl w:val="D8409286"/>
    <w:lvl w:ilvl="0">
      <w:start w:val="1"/>
      <w:numFmt w:val="decimal"/>
      <w:pStyle w:val="Heading1A"/>
      <w:lvlText w:val="%1"/>
      <w:lvlJc w:val="left"/>
      <w:pPr>
        <w:tabs>
          <w:tab w:val="num" w:pos="924"/>
        </w:tabs>
        <w:ind w:left="924" w:hanging="924"/>
      </w:pPr>
      <w:rPr>
        <w:rFonts w:hint="default"/>
      </w:rPr>
    </w:lvl>
    <w:lvl w:ilvl="1">
      <w:start w:val="1"/>
      <w:numFmt w:val="decimal"/>
      <w:pStyle w:val="PFNumLevel2"/>
      <w:lvlText w:val="%1.%2"/>
      <w:lvlJc w:val="left"/>
      <w:pPr>
        <w:tabs>
          <w:tab w:val="num" w:pos="1917"/>
        </w:tabs>
        <w:ind w:left="1917" w:hanging="924"/>
      </w:pPr>
      <w:rPr>
        <w:rFonts w:hint="default"/>
        <w:b w:val="0"/>
      </w:rPr>
    </w:lvl>
    <w:lvl w:ilvl="2">
      <w:start w:val="1"/>
      <w:numFmt w:val="decimal"/>
      <w:pStyle w:val="PFNumLevel3"/>
      <w:lvlText w:val="%1.%2.%3"/>
      <w:lvlJc w:val="left"/>
      <w:pPr>
        <w:tabs>
          <w:tab w:val="num" w:pos="1848"/>
        </w:tabs>
        <w:ind w:left="1848" w:hanging="924"/>
      </w:pPr>
      <w:rPr>
        <w:rFonts w:hint="default"/>
      </w:rPr>
    </w:lvl>
    <w:lvl w:ilvl="3">
      <w:start w:val="1"/>
      <w:numFmt w:val="lowerLetter"/>
      <w:pStyle w:val="PFNumLevel4"/>
      <w:lvlText w:val="(%4)"/>
      <w:lvlJc w:val="left"/>
      <w:pPr>
        <w:tabs>
          <w:tab w:val="num" w:pos="2773"/>
        </w:tabs>
        <w:ind w:left="2773" w:hanging="925"/>
      </w:pPr>
      <w:rPr>
        <w:rFonts w:hint="default"/>
      </w:rPr>
    </w:lvl>
    <w:lvl w:ilvl="4">
      <w:start w:val="1"/>
      <w:numFmt w:val="lowerLetter"/>
      <w:pStyle w:val="PFNumLevel5"/>
      <w:lvlText w:val="(%5)"/>
      <w:lvlJc w:val="left"/>
      <w:pPr>
        <w:tabs>
          <w:tab w:val="num" w:pos="1848"/>
        </w:tabs>
        <w:ind w:left="1848" w:hanging="924"/>
      </w:pPr>
      <w:rPr>
        <w:rFonts w:hint="default"/>
      </w:rPr>
    </w:lvl>
    <w:lvl w:ilvl="5">
      <w:start w:val="1"/>
      <w:numFmt w:val="lowerRoman"/>
      <w:lvlRestart w:val="4"/>
      <w:pStyle w:val="PFNumLevel6"/>
      <w:lvlText w:val="(%6)"/>
      <w:lvlJc w:val="left"/>
      <w:pPr>
        <w:tabs>
          <w:tab w:val="num" w:pos="3697"/>
        </w:tabs>
        <w:ind w:left="3697" w:hanging="924"/>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32767" w:firstLine="32767"/>
      </w:pPr>
      <w:rPr>
        <w:rFonts w:hint="default"/>
      </w:rPr>
    </w:lvl>
    <w:lvl w:ilvl="8">
      <w:start w:val="1"/>
      <w:numFmt w:val="none"/>
      <w:suff w:val="nothing"/>
      <w:lvlText w:val=""/>
      <w:lvlJc w:val="left"/>
      <w:pPr>
        <w:ind w:left="0" w:firstLine="0"/>
      </w:pPr>
      <w:rPr>
        <w:rFonts w:hint="default"/>
      </w:rPr>
    </w:lvl>
  </w:abstractNum>
  <w:abstractNum w:abstractNumId="28" w15:restartNumberingAfterBreak="0">
    <w:nsid w:val="2AD9720E"/>
    <w:multiLevelType w:val="multilevel"/>
    <w:tmpl w:val="30BE6EB8"/>
    <w:styleLink w:val="aaTOCList"/>
    <w:lvl w:ilvl="0">
      <w:start w:val="1"/>
      <w:numFmt w:val="none"/>
      <w:lvlText w:val="%1"/>
      <w:lvlJc w:val="left"/>
      <w:pPr>
        <w:ind w:left="336" w:hanging="336"/>
      </w:pPr>
      <w:rPr>
        <w:rFonts w:ascii="Bodoni MT" w:hAnsi="Bodoni MT" w:hint="default"/>
        <w:sz w:val="20"/>
      </w:rPr>
    </w:lvl>
    <w:lvl w:ilvl="1">
      <w:start w:val="1"/>
      <w:numFmt w:val="none"/>
      <w:lvlText w:val="%2"/>
      <w:lvlJc w:val="left"/>
      <w:pPr>
        <w:ind w:left="336" w:hanging="336"/>
      </w:pPr>
      <w:rPr>
        <w:rFonts w:hint="default"/>
      </w:rPr>
    </w:lvl>
    <w:lvl w:ilvl="2">
      <w:start w:val="1"/>
      <w:numFmt w:val="none"/>
      <w:lvlText w:val="%3"/>
      <w:lvlJc w:val="left"/>
      <w:pPr>
        <w:tabs>
          <w:tab w:val="num" w:pos="336"/>
        </w:tabs>
        <w:ind w:left="336" w:hanging="336"/>
      </w:pPr>
      <w:rPr>
        <w:rFonts w:hint="default"/>
      </w:rPr>
    </w:lvl>
    <w:lvl w:ilvl="3">
      <w:start w:val="1"/>
      <w:numFmt w:val="none"/>
      <w:lvlText w:val=""/>
      <w:lvlJc w:val="left"/>
      <w:pPr>
        <w:tabs>
          <w:tab w:val="num" w:pos="454"/>
        </w:tabs>
        <w:ind w:left="454" w:hanging="454"/>
      </w:pPr>
      <w:rPr>
        <w:rFonts w:hint="default"/>
      </w:rPr>
    </w:lvl>
    <w:lvl w:ilvl="4">
      <w:start w:val="1"/>
      <w:numFmt w:val="lowerLetter"/>
      <w:lvlText w:val="(%5)"/>
      <w:lvlJc w:val="left"/>
      <w:pPr>
        <w:ind w:left="336" w:hanging="336"/>
      </w:pPr>
      <w:rPr>
        <w:rFonts w:hint="default"/>
      </w:rPr>
    </w:lvl>
    <w:lvl w:ilvl="5">
      <w:start w:val="1"/>
      <w:numFmt w:val="none"/>
      <w:lvlText w:val=""/>
      <w:lvlJc w:val="left"/>
      <w:pPr>
        <w:tabs>
          <w:tab w:val="num" w:pos="336"/>
        </w:tabs>
        <w:ind w:left="336" w:hanging="336"/>
      </w:pPr>
      <w:rPr>
        <w:rFonts w:hint="default"/>
      </w:rPr>
    </w:lvl>
    <w:lvl w:ilvl="6">
      <w:start w:val="1"/>
      <w:numFmt w:val="none"/>
      <w:lvlText w:val="%7"/>
      <w:lvlJc w:val="left"/>
      <w:pPr>
        <w:tabs>
          <w:tab w:val="num" w:pos="335"/>
        </w:tabs>
        <w:ind w:left="335" w:hanging="335"/>
      </w:pPr>
      <w:rPr>
        <w:rFonts w:hint="default"/>
        <w:color w:val="FFFEFF"/>
      </w:rPr>
    </w:lvl>
    <w:lvl w:ilvl="7">
      <w:start w:val="1"/>
      <w:numFmt w:val="lowerLetter"/>
      <w:lvlText w:val="%8."/>
      <w:lvlJc w:val="left"/>
      <w:pPr>
        <w:ind w:left="336" w:hanging="336"/>
      </w:pPr>
      <w:rPr>
        <w:rFonts w:hint="default"/>
      </w:rPr>
    </w:lvl>
    <w:lvl w:ilvl="8">
      <w:start w:val="1"/>
      <w:numFmt w:val="lowerRoman"/>
      <w:lvlText w:val="%9."/>
      <w:lvlJc w:val="left"/>
      <w:pPr>
        <w:ind w:left="336" w:hanging="336"/>
      </w:pPr>
      <w:rPr>
        <w:rFonts w:hint="default"/>
      </w:rPr>
    </w:lvl>
  </w:abstractNum>
  <w:abstractNum w:abstractNumId="29" w15:restartNumberingAfterBreak="0">
    <w:nsid w:val="2CD46DE5"/>
    <w:multiLevelType w:val="hybridMultilevel"/>
    <w:tmpl w:val="56C2B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44507F3"/>
    <w:multiLevelType w:val="hybridMultilevel"/>
    <w:tmpl w:val="577EE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4C65256"/>
    <w:multiLevelType w:val="hybridMultilevel"/>
    <w:tmpl w:val="1026DD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361C0049"/>
    <w:multiLevelType w:val="hybridMultilevel"/>
    <w:tmpl w:val="6DD2B2C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399C5FF2"/>
    <w:multiLevelType w:val="hybridMultilevel"/>
    <w:tmpl w:val="A1585E0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4" w15:restartNumberingAfterBreak="0">
    <w:nsid w:val="3B7A6446"/>
    <w:multiLevelType w:val="hybridMultilevel"/>
    <w:tmpl w:val="5986F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BF0146F"/>
    <w:multiLevelType w:val="hybridMultilevel"/>
    <w:tmpl w:val="247E6DB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3F3F0DFE"/>
    <w:multiLevelType w:val="hybridMultilevel"/>
    <w:tmpl w:val="5E987288"/>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3F9F73C7"/>
    <w:multiLevelType w:val="hybridMultilevel"/>
    <w:tmpl w:val="C9C64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3E320AC"/>
    <w:multiLevelType w:val="hybridMultilevel"/>
    <w:tmpl w:val="2304B2E0"/>
    <w:lvl w:ilvl="0" w:tplc="486A680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45B24B0"/>
    <w:multiLevelType w:val="hybridMultilevel"/>
    <w:tmpl w:val="70C6F6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5451C91"/>
    <w:multiLevelType w:val="hybridMultilevel"/>
    <w:tmpl w:val="E0884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6D23215"/>
    <w:multiLevelType w:val="hybridMultilevel"/>
    <w:tmpl w:val="0302E1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4B094E89"/>
    <w:multiLevelType w:val="hybridMultilevel"/>
    <w:tmpl w:val="09462C78"/>
    <w:lvl w:ilvl="0" w:tplc="BF20E4C6">
      <w:start w:val="1"/>
      <w:numFmt w:val="bullet"/>
      <w:pStyle w:val="TableBullet1"/>
      <w:lvlText w:val=""/>
      <w:lvlJc w:val="left"/>
      <w:pPr>
        <w:ind w:left="4329" w:hanging="360"/>
      </w:pPr>
      <w:rPr>
        <w:rFonts w:ascii="Symbol" w:hAnsi="Symbol" w:hint="default"/>
      </w:rPr>
    </w:lvl>
    <w:lvl w:ilvl="1" w:tplc="5AE8F3A4">
      <w:start w:val="1"/>
      <w:numFmt w:val="bullet"/>
      <w:pStyle w:val="TableBullet2"/>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4BE135CE"/>
    <w:multiLevelType w:val="hybridMultilevel"/>
    <w:tmpl w:val="A6DE1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C953647"/>
    <w:multiLevelType w:val="hybridMultilevel"/>
    <w:tmpl w:val="EDB6F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D115A18"/>
    <w:multiLevelType w:val="hybridMultilevel"/>
    <w:tmpl w:val="226CF9E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6" w15:restartNumberingAfterBreak="0">
    <w:nsid w:val="4F4F5BE1"/>
    <w:multiLevelType w:val="hybridMultilevel"/>
    <w:tmpl w:val="B7C80D40"/>
    <w:lvl w:ilvl="0" w:tplc="C78CDFD0">
      <w:start w:val="1"/>
      <w:numFmt w:val="decimal"/>
      <w:lvlText w:val="%1."/>
      <w:lvlJc w:val="left"/>
      <w:pPr>
        <w:ind w:left="785" w:hanging="360"/>
      </w:pPr>
      <w:rPr>
        <w:rFonts w:hint="default"/>
      </w:rPr>
    </w:lvl>
    <w:lvl w:ilvl="1" w:tplc="0C090019" w:tentative="1">
      <w:start w:val="1"/>
      <w:numFmt w:val="lowerLetter"/>
      <w:lvlText w:val="%2."/>
      <w:lvlJc w:val="left"/>
      <w:pPr>
        <w:ind w:left="1505" w:hanging="360"/>
      </w:pPr>
    </w:lvl>
    <w:lvl w:ilvl="2" w:tplc="0C09001B" w:tentative="1">
      <w:start w:val="1"/>
      <w:numFmt w:val="lowerRoman"/>
      <w:lvlText w:val="%3."/>
      <w:lvlJc w:val="right"/>
      <w:pPr>
        <w:ind w:left="2225" w:hanging="180"/>
      </w:pPr>
    </w:lvl>
    <w:lvl w:ilvl="3" w:tplc="0C09000F" w:tentative="1">
      <w:start w:val="1"/>
      <w:numFmt w:val="decimal"/>
      <w:lvlText w:val="%4."/>
      <w:lvlJc w:val="left"/>
      <w:pPr>
        <w:ind w:left="2945" w:hanging="360"/>
      </w:pPr>
    </w:lvl>
    <w:lvl w:ilvl="4" w:tplc="0C090019" w:tentative="1">
      <w:start w:val="1"/>
      <w:numFmt w:val="lowerLetter"/>
      <w:lvlText w:val="%5."/>
      <w:lvlJc w:val="left"/>
      <w:pPr>
        <w:ind w:left="3665" w:hanging="360"/>
      </w:pPr>
    </w:lvl>
    <w:lvl w:ilvl="5" w:tplc="0C09001B" w:tentative="1">
      <w:start w:val="1"/>
      <w:numFmt w:val="lowerRoman"/>
      <w:lvlText w:val="%6."/>
      <w:lvlJc w:val="right"/>
      <w:pPr>
        <w:ind w:left="4385" w:hanging="180"/>
      </w:pPr>
    </w:lvl>
    <w:lvl w:ilvl="6" w:tplc="0C09000F" w:tentative="1">
      <w:start w:val="1"/>
      <w:numFmt w:val="decimal"/>
      <w:lvlText w:val="%7."/>
      <w:lvlJc w:val="left"/>
      <w:pPr>
        <w:ind w:left="5105" w:hanging="360"/>
      </w:pPr>
    </w:lvl>
    <w:lvl w:ilvl="7" w:tplc="0C090019" w:tentative="1">
      <w:start w:val="1"/>
      <w:numFmt w:val="lowerLetter"/>
      <w:lvlText w:val="%8."/>
      <w:lvlJc w:val="left"/>
      <w:pPr>
        <w:ind w:left="5825" w:hanging="360"/>
      </w:pPr>
    </w:lvl>
    <w:lvl w:ilvl="8" w:tplc="0C09001B" w:tentative="1">
      <w:start w:val="1"/>
      <w:numFmt w:val="lowerRoman"/>
      <w:lvlText w:val="%9."/>
      <w:lvlJc w:val="right"/>
      <w:pPr>
        <w:ind w:left="6545" w:hanging="180"/>
      </w:pPr>
    </w:lvl>
  </w:abstractNum>
  <w:abstractNum w:abstractNumId="47" w15:restartNumberingAfterBreak="0">
    <w:nsid w:val="50035049"/>
    <w:multiLevelType w:val="hybridMultilevel"/>
    <w:tmpl w:val="89BA4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4382D6E"/>
    <w:multiLevelType w:val="singleLevel"/>
    <w:tmpl w:val="315ABD1E"/>
    <w:lvl w:ilvl="0">
      <w:numFmt w:val="bullet"/>
      <w:pStyle w:val="ListBullet"/>
      <w:lvlText w:val=""/>
      <w:lvlJc w:val="left"/>
      <w:pPr>
        <w:tabs>
          <w:tab w:val="num" w:pos="340"/>
        </w:tabs>
        <w:ind w:left="340" w:hanging="340"/>
      </w:pPr>
      <w:rPr>
        <w:rFonts w:ascii="Symbol" w:hAnsi="Symbol" w:hint="default"/>
        <w:sz w:val="18"/>
      </w:rPr>
    </w:lvl>
  </w:abstractNum>
  <w:abstractNum w:abstractNumId="49" w15:restartNumberingAfterBreak="0">
    <w:nsid w:val="54E2313B"/>
    <w:multiLevelType w:val="hybridMultilevel"/>
    <w:tmpl w:val="BBC02662"/>
    <w:lvl w:ilvl="0" w:tplc="E18AE548">
      <w:start w:val="1"/>
      <w:numFmt w:val="decimal"/>
      <w:pStyle w:val="Number1"/>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0" w15:restartNumberingAfterBreak="0">
    <w:nsid w:val="573C500B"/>
    <w:multiLevelType w:val="hybridMultilevel"/>
    <w:tmpl w:val="D4765BB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15:restartNumberingAfterBreak="0">
    <w:nsid w:val="59DC1D17"/>
    <w:multiLevelType w:val="hybridMultilevel"/>
    <w:tmpl w:val="7C924C08"/>
    <w:lvl w:ilvl="0" w:tplc="DD64F938">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2" w15:restartNumberingAfterBreak="0">
    <w:nsid w:val="5A6E084F"/>
    <w:multiLevelType w:val="hybridMultilevel"/>
    <w:tmpl w:val="CA9C4AB8"/>
    <w:lvl w:ilvl="0" w:tplc="03F2AFDA">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3" w15:restartNumberingAfterBreak="0">
    <w:nsid w:val="5BF74BA1"/>
    <w:multiLevelType w:val="hybridMultilevel"/>
    <w:tmpl w:val="315607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5CEF7FA9"/>
    <w:multiLevelType w:val="hybridMultilevel"/>
    <w:tmpl w:val="AE269678"/>
    <w:lvl w:ilvl="0" w:tplc="20DAC500">
      <w:start w:val="1"/>
      <w:numFmt w:val="bullet"/>
      <w:pStyle w:val="Bullet1"/>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5" w15:restartNumberingAfterBreak="0">
    <w:nsid w:val="5E3975C9"/>
    <w:multiLevelType w:val="hybridMultilevel"/>
    <w:tmpl w:val="1CA42AC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720" w:hanging="360"/>
      </w:pPr>
      <w:rPr>
        <w:rFonts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25F2C3A"/>
    <w:multiLevelType w:val="hybridMultilevel"/>
    <w:tmpl w:val="E91C6C7A"/>
    <w:lvl w:ilvl="0" w:tplc="0F908982">
      <w:start w:val="1"/>
      <w:numFmt w:val="lowerLetter"/>
      <w:pStyle w:val="Number2"/>
      <w:lvlText w:val="%1)"/>
      <w:lvlJc w:val="left"/>
      <w:pPr>
        <w:tabs>
          <w:tab w:val="num" w:pos="1440"/>
        </w:tabs>
        <w:ind w:left="144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7" w15:restartNumberingAfterBreak="0">
    <w:nsid w:val="632267DD"/>
    <w:multiLevelType w:val="hybridMultilevel"/>
    <w:tmpl w:val="B0C4F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3B72505"/>
    <w:multiLevelType w:val="hybridMultilevel"/>
    <w:tmpl w:val="C4847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5013055"/>
    <w:multiLevelType w:val="hybridMultilevel"/>
    <w:tmpl w:val="F5464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62309CC"/>
    <w:multiLevelType w:val="hybridMultilevel"/>
    <w:tmpl w:val="19240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71F4CAE"/>
    <w:multiLevelType w:val="hybridMultilevel"/>
    <w:tmpl w:val="FE4C4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86A65CF"/>
    <w:multiLevelType w:val="hybridMultilevel"/>
    <w:tmpl w:val="083A1C6E"/>
    <w:lvl w:ilvl="0" w:tplc="4C62DB04">
      <w:start w:val="3"/>
      <w:numFmt w:val="bullet"/>
      <w:lvlText w:val="-"/>
      <w:lvlJc w:val="left"/>
      <w:pPr>
        <w:ind w:left="825" w:hanging="360"/>
      </w:pPr>
      <w:rPr>
        <w:rFonts w:ascii="Calibri" w:eastAsiaTheme="minorHAnsi" w:hAnsi="Calibri" w:cstheme="minorBidi"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63" w15:restartNumberingAfterBreak="0">
    <w:nsid w:val="6B2362E9"/>
    <w:multiLevelType w:val="hybridMultilevel"/>
    <w:tmpl w:val="81C63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6E65761C"/>
    <w:multiLevelType w:val="hybridMultilevel"/>
    <w:tmpl w:val="CA606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FC10F8F"/>
    <w:multiLevelType w:val="hybridMultilevel"/>
    <w:tmpl w:val="2742654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6" w15:restartNumberingAfterBreak="0">
    <w:nsid w:val="737532D6"/>
    <w:multiLevelType w:val="hybridMultilevel"/>
    <w:tmpl w:val="BAE45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4941B87"/>
    <w:multiLevelType w:val="hybridMultilevel"/>
    <w:tmpl w:val="738AF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78C8529F"/>
    <w:multiLevelType w:val="hybridMultilevel"/>
    <w:tmpl w:val="06E4B8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9" w15:restartNumberingAfterBreak="0">
    <w:nsid w:val="7B8D2511"/>
    <w:multiLevelType w:val="hybridMultilevel"/>
    <w:tmpl w:val="55726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7F437D62"/>
    <w:multiLevelType w:val="hybridMultilevel"/>
    <w:tmpl w:val="C2F47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2"/>
  </w:num>
  <w:num w:numId="3">
    <w:abstractNumId w:val="54"/>
  </w:num>
  <w:num w:numId="4">
    <w:abstractNumId w:val="27"/>
  </w:num>
  <w:num w:numId="5">
    <w:abstractNumId w:val="55"/>
  </w:num>
  <w:num w:numId="6">
    <w:abstractNumId w:val="37"/>
  </w:num>
  <w:num w:numId="7">
    <w:abstractNumId w:val="26"/>
  </w:num>
  <w:num w:numId="8">
    <w:abstractNumId w:val="43"/>
  </w:num>
  <w:num w:numId="9">
    <w:abstractNumId w:val="6"/>
  </w:num>
  <w:num w:numId="10">
    <w:abstractNumId w:val="70"/>
  </w:num>
  <w:num w:numId="11">
    <w:abstractNumId w:val="10"/>
  </w:num>
  <w:num w:numId="12">
    <w:abstractNumId w:val="50"/>
  </w:num>
  <w:num w:numId="13">
    <w:abstractNumId w:val="25"/>
  </w:num>
  <w:num w:numId="14">
    <w:abstractNumId w:val="40"/>
  </w:num>
  <w:num w:numId="15">
    <w:abstractNumId w:val="21"/>
  </w:num>
  <w:num w:numId="16">
    <w:abstractNumId w:val="45"/>
  </w:num>
  <w:num w:numId="17">
    <w:abstractNumId w:val="48"/>
  </w:num>
  <w:num w:numId="18">
    <w:abstractNumId w:val="61"/>
  </w:num>
  <w:num w:numId="19">
    <w:abstractNumId w:val="32"/>
  </w:num>
  <w:num w:numId="20">
    <w:abstractNumId w:val="62"/>
  </w:num>
  <w:num w:numId="21">
    <w:abstractNumId w:val="44"/>
  </w:num>
  <w:num w:numId="22">
    <w:abstractNumId w:val="59"/>
  </w:num>
  <w:num w:numId="23">
    <w:abstractNumId w:val="52"/>
    <w:lvlOverride w:ilvl="0">
      <w:startOverride w:val="1"/>
    </w:lvlOverride>
  </w:num>
  <w:num w:numId="24">
    <w:abstractNumId w:val="7"/>
  </w:num>
  <w:num w:numId="25">
    <w:abstractNumId w:val="31"/>
  </w:num>
  <w:num w:numId="26">
    <w:abstractNumId w:val="1"/>
  </w:num>
  <w:num w:numId="27">
    <w:abstractNumId w:val="53"/>
  </w:num>
  <w:num w:numId="28">
    <w:abstractNumId w:val="68"/>
  </w:num>
  <w:num w:numId="29">
    <w:abstractNumId w:val="12"/>
  </w:num>
  <w:num w:numId="30">
    <w:abstractNumId w:val="69"/>
  </w:num>
  <w:num w:numId="31">
    <w:abstractNumId w:val="24"/>
  </w:num>
  <w:num w:numId="32">
    <w:abstractNumId w:val="35"/>
  </w:num>
  <w:num w:numId="33">
    <w:abstractNumId w:val="8"/>
  </w:num>
  <w:num w:numId="34">
    <w:abstractNumId w:val="46"/>
  </w:num>
  <w:num w:numId="35">
    <w:abstractNumId w:val="36"/>
  </w:num>
  <w:num w:numId="36">
    <w:abstractNumId w:val="56"/>
  </w:num>
  <w:num w:numId="37">
    <w:abstractNumId w:val="51"/>
  </w:num>
  <w:num w:numId="38">
    <w:abstractNumId w:val="39"/>
  </w:num>
  <w:num w:numId="39">
    <w:abstractNumId w:val="5"/>
  </w:num>
  <w:num w:numId="40">
    <w:abstractNumId w:val="3"/>
  </w:num>
  <w:num w:numId="41">
    <w:abstractNumId w:val="64"/>
  </w:num>
  <w:num w:numId="42">
    <w:abstractNumId w:val="63"/>
  </w:num>
  <w:num w:numId="43">
    <w:abstractNumId w:val="47"/>
  </w:num>
  <w:num w:numId="44">
    <w:abstractNumId w:val="15"/>
  </w:num>
  <w:num w:numId="45">
    <w:abstractNumId w:val="66"/>
  </w:num>
  <w:num w:numId="46">
    <w:abstractNumId w:val="41"/>
  </w:num>
  <w:num w:numId="47">
    <w:abstractNumId w:val="17"/>
  </w:num>
  <w:num w:numId="48">
    <w:abstractNumId w:val="58"/>
  </w:num>
  <w:num w:numId="49">
    <w:abstractNumId w:val="65"/>
  </w:num>
  <w:num w:numId="50">
    <w:abstractNumId w:val="34"/>
  </w:num>
  <w:num w:numId="51">
    <w:abstractNumId w:val="4"/>
  </w:num>
  <w:num w:numId="52">
    <w:abstractNumId w:val="29"/>
  </w:num>
  <w:num w:numId="53">
    <w:abstractNumId w:val="57"/>
  </w:num>
  <w:num w:numId="54">
    <w:abstractNumId w:val="60"/>
  </w:num>
  <w:num w:numId="55">
    <w:abstractNumId w:val="67"/>
  </w:num>
  <w:num w:numId="56">
    <w:abstractNumId w:val="30"/>
  </w:num>
  <w:num w:numId="57">
    <w:abstractNumId w:val="13"/>
  </w:num>
  <w:num w:numId="58">
    <w:abstractNumId w:val="9"/>
  </w:num>
  <w:num w:numId="59">
    <w:abstractNumId w:val="22"/>
  </w:num>
  <w:num w:numId="60">
    <w:abstractNumId w:val="19"/>
  </w:num>
  <w:num w:numId="61">
    <w:abstractNumId w:val="23"/>
  </w:num>
  <w:num w:numId="62">
    <w:abstractNumId w:val="28"/>
  </w:num>
  <w:num w:numId="63">
    <w:abstractNumId w:val="38"/>
  </w:num>
  <w:num w:numId="64">
    <w:abstractNumId w:val="11"/>
  </w:num>
  <w:num w:numId="65">
    <w:abstractNumId w:val="49"/>
  </w:num>
  <w:num w:numId="66">
    <w:abstractNumId w:val="16"/>
  </w:num>
  <w:num w:numId="67">
    <w:abstractNumId w:val="18"/>
  </w:num>
  <w:num w:numId="68">
    <w:abstractNumId w:val="33"/>
  </w:num>
  <w:num w:numId="69">
    <w:abstractNumId w:val="20"/>
  </w:num>
  <w:num w:numId="70">
    <w:abstractNumId w:val="14"/>
  </w:num>
  <w:num w:numId="71">
    <w:abstractNumId w:val="2"/>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activeWritingStyle w:appName="MSWord" w:lang="en-US" w:vendorID="64" w:dllVersion="5" w:nlCheck="1" w:checkStyle="1"/>
  <w:activeWritingStyle w:appName="MSWord" w:lang="en-US" w:vendorID="64" w:dllVersion="6" w:nlCheck="1" w:checkStyle="1"/>
  <w:activeWritingStyle w:appName="MSWord" w:lang="en-AU" w:vendorID="64" w:dllVersion="6" w:nlCheck="1" w:checkStyle="1"/>
  <w:activeWritingStyle w:appName="MSWord" w:lang="en-GB" w:vendorID="64" w:dllVersion="6" w:nlCheck="1" w:checkStyle="1"/>
  <w:activeWritingStyle w:appName="MSWord" w:lang="en-US" w:vendorID="64" w:dllVersion="0" w:nlCheck="1" w:checkStyle="0"/>
  <w:activeWritingStyle w:appName="MSWord" w:lang="en-AU" w:vendorID="64" w:dllVersion="0" w:nlCheck="1" w:checkStyle="0"/>
  <w:activeWritingStyle w:appName="MSWord" w:lang="en-GB" w:vendorID="64" w:dllVersion="0" w:nlCheck="1" w:checkStyle="0"/>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31C"/>
    <w:rsid w:val="000007B7"/>
    <w:rsid w:val="0000230F"/>
    <w:rsid w:val="00002BD4"/>
    <w:rsid w:val="000034BE"/>
    <w:rsid w:val="00003DD8"/>
    <w:rsid w:val="00004481"/>
    <w:rsid w:val="00004558"/>
    <w:rsid w:val="00004BB7"/>
    <w:rsid w:val="000051AA"/>
    <w:rsid w:val="00005AF9"/>
    <w:rsid w:val="00006059"/>
    <w:rsid w:val="00006FBA"/>
    <w:rsid w:val="0000726E"/>
    <w:rsid w:val="000077D8"/>
    <w:rsid w:val="000078B7"/>
    <w:rsid w:val="000100AF"/>
    <w:rsid w:val="00010CCC"/>
    <w:rsid w:val="000139E1"/>
    <w:rsid w:val="000151AA"/>
    <w:rsid w:val="000162C4"/>
    <w:rsid w:val="000165BD"/>
    <w:rsid w:val="00016B9A"/>
    <w:rsid w:val="000225AD"/>
    <w:rsid w:val="000233D4"/>
    <w:rsid w:val="00025281"/>
    <w:rsid w:val="00025459"/>
    <w:rsid w:val="00025834"/>
    <w:rsid w:val="000307DD"/>
    <w:rsid w:val="000322E8"/>
    <w:rsid w:val="0003230F"/>
    <w:rsid w:val="000330B2"/>
    <w:rsid w:val="000338E4"/>
    <w:rsid w:val="00033EBC"/>
    <w:rsid w:val="00035AFE"/>
    <w:rsid w:val="00035FF3"/>
    <w:rsid w:val="000363F2"/>
    <w:rsid w:val="000374E2"/>
    <w:rsid w:val="000376B7"/>
    <w:rsid w:val="000407FF"/>
    <w:rsid w:val="00040890"/>
    <w:rsid w:val="000418CC"/>
    <w:rsid w:val="000439FE"/>
    <w:rsid w:val="00044830"/>
    <w:rsid w:val="00044F30"/>
    <w:rsid w:val="00045DA3"/>
    <w:rsid w:val="000475A4"/>
    <w:rsid w:val="00047BD3"/>
    <w:rsid w:val="00050306"/>
    <w:rsid w:val="00050BFE"/>
    <w:rsid w:val="0005110D"/>
    <w:rsid w:val="00051FB3"/>
    <w:rsid w:val="000531D9"/>
    <w:rsid w:val="000546E2"/>
    <w:rsid w:val="00054ABE"/>
    <w:rsid w:val="0005624F"/>
    <w:rsid w:val="00060CC0"/>
    <w:rsid w:val="00061344"/>
    <w:rsid w:val="00062628"/>
    <w:rsid w:val="00063A9B"/>
    <w:rsid w:val="00065F25"/>
    <w:rsid w:val="00067F4A"/>
    <w:rsid w:val="00070507"/>
    <w:rsid w:val="00070830"/>
    <w:rsid w:val="00072CDA"/>
    <w:rsid w:val="00072EB7"/>
    <w:rsid w:val="000738E2"/>
    <w:rsid w:val="000746C3"/>
    <w:rsid w:val="00075E2D"/>
    <w:rsid w:val="000761DB"/>
    <w:rsid w:val="00076AA2"/>
    <w:rsid w:val="00076CC3"/>
    <w:rsid w:val="00080148"/>
    <w:rsid w:val="00080EC9"/>
    <w:rsid w:val="00081719"/>
    <w:rsid w:val="000819B9"/>
    <w:rsid w:val="00082EDF"/>
    <w:rsid w:val="0008399E"/>
    <w:rsid w:val="0008595F"/>
    <w:rsid w:val="00085C16"/>
    <w:rsid w:val="00085E69"/>
    <w:rsid w:val="00085FAA"/>
    <w:rsid w:val="000902EE"/>
    <w:rsid w:val="000906FA"/>
    <w:rsid w:val="00090A56"/>
    <w:rsid w:val="000919A4"/>
    <w:rsid w:val="00092E3E"/>
    <w:rsid w:val="0009321E"/>
    <w:rsid w:val="000948D7"/>
    <w:rsid w:val="00094EC9"/>
    <w:rsid w:val="000959F8"/>
    <w:rsid w:val="00097FC0"/>
    <w:rsid w:val="000A018D"/>
    <w:rsid w:val="000A09C4"/>
    <w:rsid w:val="000A1B5C"/>
    <w:rsid w:val="000A23F1"/>
    <w:rsid w:val="000A3F98"/>
    <w:rsid w:val="000A525A"/>
    <w:rsid w:val="000A5A87"/>
    <w:rsid w:val="000A609B"/>
    <w:rsid w:val="000A6459"/>
    <w:rsid w:val="000A67D0"/>
    <w:rsid w:val="000B0775"/>
    <w:rsid w:val="000B08A8"/>
    <w:rsid w:val="000B1520"/>
    <w:rsid w:val="000B1CE3"/>
    <w:rsid w:val="000B352A"/>
    <w:rsid w:val="000B5339"/>
    <w:rsid w:val="000B6D4C"/>
    <w:rsid w:val="000B7714"/>
    <w:rsid w:val="000C08E2"/>
    <w:rsid w:val="000C19F1"/>
    <w:rsid w:val="000C1B0D"/>
    <w:rsid w:val="000C1D4D"/>
    <w:rsid w:val="000C21F0"/>
    <w:rsid w:val="000C2A5B"/>
    <w:rsid w:val="000C3F59"/>
    <w:rsid w:val="000C67EF"/>
    <w:rsid w:val="000C71E9"/>
    <w:rsid w:val="000C744E"/>
    <w:rsid w:val="000C7A92"/>
    <w:rsid w:val="000C7D2D"/>
    <w:rsid w:val="000D0A93"/>
    <w:rsid w:val="000D1C5E"/>
    <w:rsid w:val="000D4679"/>
    <w:rsid w:val="000D54FF"/>
    <w:rsid w:val="000D5AAC"/>
    <w:rsid w:val="000D6BEA"/>
    <w:rsid w:val="000D7774"/>
    <w:rsid w:val="000D7E98"/>
    <w:rsid w:val="000D7EEA"/>
    <w:rsid w:val="000E0652"/>
    <w:rsid w:val="000E2216"/>
    <w:rsid w:val="000E242B"/>
    <w:rsid w:val="000E2910"/>
    <w:rsid w:val="000E2E23"/>
    <w:rsid w:val="000E3525"/>
    <w:rsid w:val="000E4059"/>
    <w:rsid w:val="000E4966"/>
    <w:rsid w:val="000E624F"/>
    <w:rsid w:val="000E665D"/>
    <w:rsid w:val="000E7256"/>
    <w:rsid w:val="000F0254"/>
    <w:rsid w:val="000F121B"/>
    <w:rsid w:val="000F2A24"/>
    <w:rsid w:val="000F2F4B"/>
    <w:rsid w:val="000F3582"/>
    <w:rsid w:val="000F3D91"/>
    <w:rsid w:val="000F43A5"/>
    <w:rsid w:val="000F5E10"/>
    <w:rsid w:val="000F7366"/>
    <w:rsid w:val="000F7977"/>
    <w:rsid w:val="00101185"/>
    <w:rsid w:val="0010309B"/>
    <w:rsid w:val="0010380E"/>
    <w:rsid w:val="00103F50"/>
    <w:rsid w:val="001043BE"/>
    <w:rsid w:val="001052BD"/>
    <w:rsid w:val="00105AF9"/>
    <w:rsid w:val="00105CAF"/>
    <w:rsid w:val="00106A7C"/>
    <w:rsid w:val="00106B54"/>
    <w:rsid w:val="00106D98"/>
    <w:rsid w:val="00110B2D"/>
    <w:rsid w:val="00111A45"/>
    <w:rsid w:val="00111F99"/>
    <w:rsid w:val="001126FF"/>
    <w:rsid w:val="0011277A"/>
    <w:rsid w:val="0011307F"/>
    <w:rsid w:val="0011360C"/>
    <w:rsid w:val="001139AA"/>
    <w:rsid w:val="0011617C"/>
    <w:rsid w:val="00117E8A"/>
    <w:rsid w:val="00120230"/>
    <w:rsid w:val="00121FBA"/>
    <w:rsid w:val="00122CCE"/>
    <w:rsid w:val="001238E4"/>
    <w:rsid w:val="00123FC7"/>
    <w:rsid w:val="00124413"/>
    <w:rsid w:val="00125D38"/>
    <w:rsid w:val="00125D6C"/>
    <w:rsid w:val="00125E72"/>
    <w:rsid w:val="00127A79"/>
    <w:rsid w:val="0013008A"/>
    <w:rsid w:val="0013122F"/>
    <w:rsid w:val="00131ED2"/>
    <w:rsid w:val="00133A27"/>
    <w:rsid w:val="00134037"/>
    <w:rsid w:val="00134CDE"/>
    <w:rsid w:val="001350C0"/>
    <w:rsid w:val="00136527"/>
    <w:rsid w:val="0013654A"/>
    <w:rsid w:val="0013716F"/>
    <w:rsid w:val="00137638"/>
    <w:rsid w:val="00137C2A"/>
    <w:rsid w:val="001402CC"/>
    <w:rsid w:val="00141210"/>
    <w:rsid w:val="00141498"/>
    <w:rsid w:val="00142E39"/>
    <w:rsid w:val="0014361D"/>
    <w:rsid w:val="00143796"/>
    <w:rsid w:val="00144847"/>
    <w:rsid w:val="00144980"/>
    <w:rsid w:val="001456F1"/>
    <w:rsid w:val="00145AA4"/>
    <w:rsid w:val="00145C82"/>
    <w:rsid w:val="00145E41"/>
    <w:rsid w:val="00146042"/>
    <w:rsid w:val="00147902"/>
    <w:rsid w:val="00151D1A"/>
    <w:rsid w:val="0015372A"/>
    <w:rsid w:val="00154406"/>
    <w:rsid w:val="00154D80"/>
    <w:rsid w:val="001557DA"/>
    <w:rsid w:val="00156D42"/>
    <w:rsid w:val="00157F36"/>
    <w:rsid w:val="001603E1"/>
    <w:rsid w:val="0016171F"/>
    <w:rsid w:val="00161F55"/>
    <w:rsid w:val="00163A87"/>
    <w:rsid w:val="00163C6B"/>
    <w:rsid w:val="001645F0"/>
    <w:rsid w:val="00165655"/>
    <w:rsid w:val="00165E8D"/>
    <w:rsid w:val="0017022A"/>
    <w:rsid w:val="0017057A"/>
    <w:rsid w:val="001715EC"/>
    <w:rsid w:val="00171DC0"/>
    <w:rsid w:val="001722B7"/>
    <w:rsid w:val="00173B48"/>
    <w:rsid w:val="00174A2C"/>
    <w:rsid w:val="00174C44"/>
    <w:rsid w:val="00174DEA"/>
    <w:rsid w:val="00175684"/>
    <w:rsid w:val="00175C38"/>
    <w:rsid w:val="00176D14"/>
    <w:rsid w:val="00176ED1"/>
    <w:rsid w:val="00180AF9"/>
    <w:rsid w:val="00180FCD"/>
    <w:rsid w:val="00181294"/>
    <w:rsid w:val="001815C4"/>
    <w:rsid w:val="0018173C"/>
    <w:rsid w:val="00181787"/>
    <w:rsid w:val="0018227B"/>
    <w:rsid w:val="001823EA"/>
    <w:rsid w:val="00182CCB"/>
    <w:rsid w:val="00182DEB"/>
    <w:rsid w:val="00183254"/>
    <w:rsid w:val="00185C59"/>
    <w:rsid w:val="00185FEC"/>
    <w:rsid w:val="00186B05"/>
    <w:rsid w:val="00186B99"/>
    <w:rsid w:val="001872FD"/>
    <w:rsid w:val="00191BC6"/>
    <w:rsid w:val="001926DA"/>
    <w:rsid w:val="00193C67"/>
    <w:rsid w:val="001941E9"/>
    <w:rsid w:val="00195CF2"/>
    <w:rsid w:val="0019665A"/>
    <w:rsid w:val="00196CC0"/>
    <w:rsid w:val="001977CC"/>
    <w:rsid w:val="001A309A"/>
    <w:rsid w:val="001A381C"/>
    <w:rsid w:val="001A6EB2"/>
    <w:rsid w:val="001A6FD9"/>
    <w:rsid w:val="001B0252"/>
    <w:rsid w:val="001B0316"/>
    <w:rsid w:val="001B12E9"/>
    <w:rsid w:val="001B29D8"/>
    <w:rsid w:val="001B2E51"/>
    <w:rsid w:val="001B411F"/>
    <w:rsid w:val="001B5090"/>
    <w:rsid w:val="001B77E5"/>
    <w:rsid w:val="001B7A33"/>
    <w:rsid w:val="001C1A8B"/>
    <w:rsid w:val="001C27AB"/>
    <w:rsid w:val="001C3A35"/>
    <w:rsid w:val="001C4FC2"/>
    <w:rsid w:val="001C5991"/>
    <w:rsid w:val="001C7564"/>
    <w:rsid w:val="001D1897"/>
    <w:rsid w:val="001D378D"/>
    <w:rsid w:val="001D4FFF"/>
    <w:rsid w:val="001D5597"/>
    <w:rsid w:val="001D5B77"/>
    <w:rsid w:val="001E05B4"/>
    <w:rsid w:val="001E0AC7"/>
    <w:rsid w:val="001E0D11"/>
    <w:rsid w:val="001E1275"/>
    <w:rsid w:val="001E2067"/>
    <w:rsid w:val="001E4312"/>
    <w:rsid w:val="001E587E"/>
    <w:rsid w:val="001E61A3"/>
    <w:rsid w:val="001E7A5A"/>
    <w:rsid w:val="001E7CFA"/>
    <w:rsid w:val="001F1A39"/>
    <w:rsid w:val="001F2EE4"/>
    <w:rsid w:val="001F4DA0"/>
    <w:rsid w:val="001F55B5"/>
    <w:rsid w:val="001F6096"/>
    <w:rsid w:val="001F6742"/>
    <w:rsid w:val="001F6A7C"/>
    <w:rsid w:val="001F6C3B"/>
    <w:rsid w:val="00200898"/>
    <w:rsid w:val="00200BF3"/>
    <w:rsid w:val="00204381"/>
    <w:rsid w:val="0020567E"/>
    <w:rsid w:val="00206DB9"/>
    <w:rsid w:val="0021146A"/>
    <w:rsid w:val="00211A9E"/>
    <w:rsid w:val="002126F3"/>
    <w:rsid w:val="00212D35"/>
    <w:rsid w:val="002143F5"/>
    <w:rsid w:val="0022011D"/>
    <w:rsid w:val="00220286"/>
    <w:rsid w:val="00220BCC"/>
    <w:rsid w:val="002212D9"/>
    <w:rsid w:val="0022131A"/>
    <w:rsid w:val="00221944"/>
    <w:rsid w:val="00221E1B"/>
    <w:rsid w:val="00223961"/>
    <w:rsid w:val="00223BAC"/>
    <w:rsid w:val="00223BEE"/>
    <w:rsid w:val="002240BE"/>
    <w:rsid w:val="002248E6"/>
    <w:rsid w:val="0022530F"/>
    <w:rsid w:val="00226470"/>
    <w:rsid w:val="00226977"/>
    <w:rsid w:val="0022757A"/>
    <w:rsid w:val="00227FC8"/>
    <w:rsid w:val="0023145A"/>
    <w:rsid w:val="00231575"/>
    <w:rsid w:val="00231992"/>
    <w:rsid w:val="00233A5C"/>
    <w:rsid w:val="00233AB7"/>
    <w:rsid w:val="0023444C"/>
    <w:rsid w:val="002346F1"/>
    <w:rsid w:val="00234B55"/>
    <w:rsid w:val="00234ED1"/>
    <w:rsid w:val="00234F0B"/>
    <w:rsid w:val="00235211"/>
    <w:rsid w:val="002403F7"/>
    <w:rsid w:val="00242DAD"/>
    <w:rsid w:val="00243972"/>
    <w:rsid w:val="002439FD"/>
    <w:rsid w:val="002458A1"/>
    <w:rsid w:val="0024664C"/>
    <w:rsid w:val="0024707C"/>
    <w:rsid w:val="00253931"/>
    <w:rsid w:val="00255A91"/>
    <w:rsid w:val="00256AB7"/>
    <w:rsid w:val="00256FE4"/>
    <w:rsid w:val="00260BA3"/>
    <w:rsid w:val="00260F06"/>
    <w:rsid w:val="002620EE"/>
    <w:rsid w:val="002620F5"/>
    <w:rsid w:val="00262105"/>
    <w:rsid w:val="002625A0"/>
    <w:rsid w:val="00263326"/>
    <w:rsid w:val="002645F5"/>
    <w:rsid w:val="002647C4"/>
    <w:rsid w:val="00265F8C"/>
    <w:rsid w:val="00267497"/>
    <w:rsid w:val="00267AAC"/>
    <w:rsid w:val="00271F9F"/>
    <w:rsid w:val="0027369D"/>
    <w:rsid w:val="002746B5"/>
    <w:rsid w:val="00274862"/>
    <w:rsid w:val="00274B16"/>
    <w:rsid w:val="00275E46"/>
    <w:rsid w:val="00276602"/>
    <w:rsid w:val="00276CA1"/>
    <w:rsid w:val="002772D9"/>
    <w:rsid w:val="002774FD"/>
    <w:rsid w:val="0027755B"/>
    <w:rsid w:val="0028088E"/>
    <w:rsid w:val="00280EE0"/>
    <w:rsid w:val="0028127F"/>
    <w:rsid w:val="00281DC0"/>
    <w:rsid w:val="0028285F"/>
    <w:rsid w:val="00292C01"/>
    <w:rsid w:val="00293108"/>
    <w:rsid w:val="00293704"/>
    <w:rsid w:val="00294E76"/>
    <w:rsid w:val="002957B9"/>
    <w:rsid w:val="0029593A"/>
    <w:rsid w:val="00295BDC"/>
    <w:rsid w:val="00296055"/>
    <w:rsid w:val="00296269"/>
    <w:rsid w:val="00296F1A"/>
    <w:rsid w:val="00297615"/>
    <w:rsid w:val="002A05F3"/>
    <w:rsid w:val="002A0A80"/>
    <w:rsid w:val="002A37ED"/>
    <w:rsid w:val="002A4019"/>
    <w:rsid w:val="002A427A"/>
    <w:rsid w:val="002A427E"/>
    <w:rsid w:val="002A45D2"/>
    <w:rsid w:val="002A4AFC"/>
    <w:rsid w:val="002A5FC7"/>
    <w:rsid w:val="002A6FA3"/>
    <w:rsid w:val="002A7B7D"/>
    <w:rsid w:val="002A7BC4"/>
    <w:rsid w:val="002B18B6"/>
    <w:rsid w:val="002B1EB8"/>
    <w:rsid w:val="002B2EF5"/>
    <w:rsid w:val="002B40EB"/>
    <w:rsid w:val="002B521D"/>
    <w:rsid w:val="002B5376"/>
    <w:rsid w:val="002B6964"/>
    <w:rsid w:val="002B6DA9"/>
    <w:rsid w:val="002B75EB"/>
    <w:rsid w:val="002C07CD"/>
    <w:rsid w:val="002C2ED4"/>
    <w:rsid w:val="002C3021"/>
    <w:rsid w:val="002C39C2"/>
    <w:rsid w:val="002C414C"/>
    <w:rsid w:val="002C43AA"/>
    <w:rsid w:val="002C4B6A"/>
    <w:rsid w:val="002C5886"/>
    <w:rsid w:val="002C656C"/>
    <w:rsid w:val="002C67E1"/>
    <w:rsid w:val="002C6D25"/>
    <w:rsid w:val="002C785B"/>
    <w:rsid w:val="002D195D"/>
    <w:rsid w:val="002D30EC"/>
    <w:rsid w:val="002D3563"/>
    <w:rsid w:val="002D7304"/>
    <w:rsid w:val="002E20C0"/>
    <w:rsid w:val="002E241D"/>
    <w:rsid w:val="002E27A0"/>
    <w:rsid w:val="002E2932"/>
    <w:rsid w:val="002E7550"/>
    <w:rsid w:val="002F09D0"/>
    <w:rsid w:val="002F1753"/>
    <w:rsid w:val="002F22DC"/>
    <w:rsid w:val="002F25FD"/>
    <w:rsid w:val="002F2E16"/>
    <w:rsid w:val="002F2FCA"/>
    <w:rsid w:val="002F301C"/>
    <w:rsid w:val="002F3D53"/>
    <w:rsid w:val="002F43AF"/>
    <w:rsid w:val="002F45FE"/>
    <w:rsid w:val="002F5137"/>
    <w:rsid w:val="002F639D"/>
    <w:rsid w:val="002F7F17"/>
    <w:rsid w:val="002F7F35"/>
    <w:rsid w:val="0030046C"/>
    <w:rsid w:val="00302147"/>
    <w:rsid w:val="00303A82"/>
    <w:rsid w:val="00305891"/>
    <w:rsid w:val="00305C21"/>
    <w:rsid w:val="00305D75"/>
    <w:rsid w:val="003068F6"/>
    <w:rsid w:val="00307411"/>
    <w:rsid w:val="003101BB"/>
    <w:rsid w:val="00310E54"/>
    <w:rsid w:val="00311845"/>
    <w:rsid w:val="00311A1E"/>
    <w:rsid w:val="00312DD6"/>
    <w:rsid w:val="00313873"/>
    <w:rsid w:val="00314F98"/>
    <w:rsid w:val="00315EFD"/>
    <w:rsid w:val="0032020C"/>
    <w:rsid w:val="00321004"/>
    <w:rsid w:val="003210B2"/>
    <w:rsid w:val="003216C7"/>
    <w:rsid w:val="0032228A"/>
    <w:rsid w:val="00322AA8"/>
    <w:rsid w:val="00323006"/>
    <w:rsid w:val="00323753"/>
    <w:rsid w:val="00324319"/>
    <w:rsid w:val="00325B6F"/>
    <w:rsid w:val="00327673"/>
    <w:rsid w:val="00327CEE"/>
    <w:rsid w:val="0033168B"/>
    <w:rsid w:val="00331929"/>
    <w:rsid w:val="00334BA4"/>
    <w:rsid w:val="00334E11"/>
    <w:rsid w:val="003366DC"/>
    <w:rsid w:val="00336CF2"/>
    <w:rsid w:val="0033739B"/>
    <w:rsid w:val="0033763F"/>
    <w:rsid w:val="00341CEF"/>
    <w:rsid w:val="00341F0F"/>
    <w:rsid w:val="00342081"/>
    <w:rsid w:val="0034248A"/>
    <w:rsid w:val="003435AB"/>
    <w:rsid w:val="00343E06"/>
    <w:rsid w:val="00345ED5"/>
    <w:rsid w:val="003466C0"/>
    <w:rsid w:val="003538A2"/>
    <w:rsid w:val="00354486"/>
    <w:rsid w:val="00355944"/>
    <w:rsid w:val="003567D0"/>
    <w:rsid w:val="0036014E"/>
    <w:rsid w:val="00361075"/>
    <w:rsid w:val="00361EFC"/>
    <w:rsid w:val="00362BE7"/>
    <w:rsid w:val="00362DFA"/>
    <w:rsid w:val="0036384C"/>
    <w:rsid w:val="0036412B"/>
    <w:rsid w:val="003679C9"/>
    <w:rsid w:val="00370FAD"/>
    <w:rsid w:val="0037143A"/>
    <w:rsid w:val="00373FFE"/>
    <w:rsid w:val="00375CD0"/>
    <w:rsid w:val="003768F3"/>
    <w:rsid w:val="00381336"/>
    <w:rsid w:val="0038318F"/>
    <w:rsid w:val="003833BD"/>
    <w:rsid w:val="003842C1"/>
    <w:rsid w:val="0038516A"/>
    <w:rsid w:val="00385BD5"/>
    <w:rsid w:val="003876D2"/>
    <w:rsid w:val="0039140E"/>
    <w:rsid w:val="00391950"/>
    <w:rsid w:val="00391F21"/>
    <w:rsid w:val="003920C9"/>
    <w:rsid w:val="003922A1"/>
    <w:rsid w:val="00392378"/>
    <w:rsid w:val="00392B37"/>
    <w:rsid w:val="00393510"/>
    <w:rsid w:val="00393A5F"/>
    <w:rsid w:val="00393B61"/>
    <w:rsid w:val="00393EF4"/>
    <w:rsid w:val="00395EE9"/>
    <w:rsid w:val="003966D3"/>
    <w:rsid w:val="00397859"/>
    <w:rsid w:val="003A09BE"/>
    <w:rsid w:val="003A2FD5"/>
    <w:rsid w:val="003A39DE"/>
    <w:rsid w:val="003A41C9"/>
    <w:rsid w:val="003A4709"/>
    <w:rsid w:val="003A4E61"/>
    <w:rsid w:val="003A50DA"/>
    <w:rsid w:val="003A690B"/>
    <w:rsid w:val="003A6982"/>
    <w:rsid w:val="003A7AEE"/>
    <w:rsid w:val="003B0313"/>
    <w:rsid w:val="003B0EE4"/>
    <w:rsid w:val="003B241B"/>
    <w:rsid w:val="003B2423"/>
    <w:rsid w:val="003B2745"/>
    <w:rsid w:val="003B4AF3"/>
    <w:rsid w:val="003B6CDE"/>
    <w:rsid w:val="003B7E5F"/>
    <w:rsid w:val="003C0BF9"/>
    <w:rsid w:val="003C1A14"/>
    <w:rsid w:val="003C27A4"/>
    <w:rsid w:val="003C4F7D"/>
    <w:rsid w:val="003C56E1"/>
    <w:rsid w:val="003C682C"/>
    <w:rsid w:val="003D0233"/>
    <w:rsid w:val="003D19C3"/>
    <w:rsid w:val="003D35EE"/>
    <w:rsid w:val="003D3DFB"/>
    <w:rsid w:val="003D41A0"/>
    <w:rsid w:val="003D4CFB"/>
    <w:rsid w:val="003D563A"/>
    <w:rsid w:val="003D6692"/>
    <w:rsid w:val="003D6C50"/>
    <w:rsid w:val="003D749E"/>
    <w:rsid w:val="003E092C"/>
    <w:rsid w:val="003E2605"/>
    <w:rsid w:val="003E2CDC"/>
    <w:rsid w:val="003E53C0"/>
    <w:rsid w:val="003E5D98"/>
    <w:rsid w:val="003E6728"/>
    <w:rsid w:val="003E7DC4"/>
    <w:rsid w:val="003E7EE7"/>
    <w:rsid w:val="003F0491"/>
    <w:rsid w:val="003F0ACD"/>
    <w:rsid w:val="003F0BBD"/>
    <w:rsid w:val="003F1928"/>
    <w:rsid w:val="003F1C1B"/>
    <w:rsid w:val="003F2371"/>
    <w:rsid w:val="003F4279"/>
    <w:rsid w:val="003F5213"/>
    <w:rsid w:val="003F60E8"/>
    <w:rsid w:val="003F6727"/>
    <w:rsid w:val="003F6B19"/>
    <w:rsid w:val="003F7211"/>
    <w:rsid w:val="003F7BD0"/>
    <w:rsid w:val="00400294"/>
    <w:rsid w:val="00401316"/>
    <w:rsid w:val="00404368"/>
    <w:rsid w:val="004056BB"/>
    <w:rsid w:val="004061C8"/>
    <w:rsid w:val="004061DE"/>
    <w:rsid w:val="004069B5"/>
    <w:rsid w:val="00407C6C"/>
    <w:rsid w:val="00410869"/>
    <w:rsid w:val="00411C6F"/>
    <w:rsid w:val="00413AD9"/>
    <w:rsid w:val="004172A8"/>
    <w:rsid w:val="004179A0"/>
    <w:rsid w:val="00417CE6"/>
    <w:rsid w:val="004205BF"/>
    <w:rsid w:val="0042342F"/>
    <w:rsid w:val="00423B34"/>
    <w:rsid w:val="00423CFC"/>
    <w:rsid w:val="00424F1F"/>
    <w:rsid w:val="00426016"/>
    <w:rsid w:val="00430A32"/>
    <w:rsid w:val="00430A72"/>
    <w:rsid w:val="00430EAF"/>
    <w:rsid w:val="0043427F"/>
    <w:rsid w:val="00435848"/>
    <w:rsid w:val="00435863"/>
    <w:rsid w:val="004358AB"/>
    <w:rsid w:val="00435C8C"/>
    <w:rsid w:val="0043616C"/>
    <w:rsid w:val="004364B2"/>
    <w:rsid w:val="00440F68"/>
    <w:rsid w:val="00442996"/>
    <w:rsid w:val="004432DB"/>
    <w:rsid w:val="004474F9"/>
    <w:rsid w:val="00450161"/>
    <w:rsid w:val="004514CE"/>
    <w:rsid w:val="0045283F"/>
    <w:rsid w:val="00454372"/>
    <w:rsid w:val="004543E6"/>
    <w:rsid w:val="004547F0"/>
    <w:rsid w:val="0045502B"/>
    <w:rsid w:val="00456201"/>
    <w:rsid w:val="00456A87"/>
    <w:rsid w:val="00456AA5"/>
    <w:rsid w:val="00456B19"/>
    <w:rsid w:val="00460188"/>
    <w:rsid w:val="00460B44"/>
    <w:rsid w:val="00461DA7"/>
    <w:rsid w:val="00462FE2"/>
    <w:rsid w:val="00463606"/>
    <w:rsid w:val="004640F7"/>
    <w:rsid w:val="00465F74"/>
    <w:rsid w:val="00465F9D"/>
    <w:rsid w:val="004660F0"/>
    <w:rsid w:val="00467216"/>
    <w:rsid w:val="00467B7C"/>
    <w:rsid w:val="00470798"/>
    <w:rsid w:val="00471399"/>
    <w:rsid w:val="004741B5"/>
    <w:rsid w:val="00474D3A"/>
    <w:rsid w:val="004806E9"/>
    <w:rsid w:val="00480B0B"/>
    <w:rsid w:val="00483BBD"/>
    <w:rsid w:val="00483CFA"/>
    <w:rsid w:val="00484E59"/>
    <w:rsid w:val="004872DD"/>
    <w:rsid w:val="0048742C"/>
    <w:rsid w:val="00491C9E"/>
    <w:rsid w:val="00492231"/>
    <w:rsid w:val="00492BFA"/>
    <w:rsid w:val="004933E2"/>
    <w:rsid w:val="004937BA"/>
    <w:rsid w:val="00493900"/>
    <w:rsid w:val="00493BA7"/>
    <w:rsid w:val="00495D9F"/>
    <w:rsid w:val="004A00CD"/>
    <w:rsid w:val="004A05D6"/>
    <w:rsid w:val="004A0BCF"/>
    <w:rsid w:val="004A39F4"/>
    <w:rsid w:val="004A618A"/>
    <w:rsid w:val="004A7FF7"/>
    <w:rsid w:val="004B0093"/>
    <w:rsid w:val="004B174C"/>
    <w:rsid w:val="004B2232"/>
    <w:rsid w:val="004B24C7"/>
    <w:rsid w:val="004B34D4"/>
    <w:rsid w:val="004B37CA"/>
    <w:rsid w:val="004B4424"/>
    <w:rsid w:val="004B53CF"/>
    <w:rsid w:val="004B6DDE"/>
    <w:rsid w:val="004B7A0E"/>
    <w:rsid w:val="004C1040"/>
    <w:rsid w:val="004C1087"/>
    <w:rsid w:val="004C1467"/>
    <w:rsid w:val="004C1F96"/>
    <w:rsid w:val="004C24CA"/>
    <w:rsid w:val="004C29A1"/>
    <w:rsid w:val="004C4261"/>
    <w:rsid w:val="004C42C5"/>
    <w:rsid w:val="004C4453"/>
    <w:rsid w:val="004C5A19"/>
    <w:rsid w:val="004C5E74"/>
    <w:rsid w:val="004C6426"/>
    <w:rsid w:val="004C786C"/>
    <w:rsid w:val="004C7945"/>
    <w:rsid w:val="004C7CE8"/>
    <w:rsid w:val="004D07A0"/>
    <w:rsid w:val="004D113A"/>
    <w:rsid w:val="004D18AE"/>
    <w:rsid w:val="004D2071"/>
    <w:rsid w:val="004D34CE"/>
    <w:rsid w:val="004D352E"/>
    <w:rsid w:val="004D37BA"/>
    <w:rsid w:val="004D43C3"/>
    <w:rsid w:val="004D4933"/>
    <w:rsid w:val="004D4E70"/>
    <w:rsid w:val="004D5CB3"/>
    <w:rsid w:val="004D6107"/>
    <w:rsid w:val="004D6149"/>
    <w:rsid w:val="004D70F7"/>
    <w:rsid w:val="004D7F78"/>
    <w:rsid w:val="004E257C"/>
    <w:rsid w:val="004E3095"/>
    <w:rsid w:val="004E426D"/>
    <w:rsid w:val="004E46AF"/>
    <w:rsid w:val="004E4E2E"/>
    <w:rsid w:val="004E6035"/>
    <w:rsid w:val="004E62CE"/>
    <w:rsid w:val="004E6E3F"/>
    <w:rsid w:val="004F075D"/>
    <w:rsid w:val="004F17C2"/>
    <w:rsid w:val="004F1CD7"/>
    <w:rsid w:val="004F3047"/>
    <w:rsid w:val="004F32BF"/>
    <w:rsid w:val="004F3A30"/>
    <w:rsid w:val="004F4297"/>
    <w:rsid w:val="004F429D"/>
    <w:rsid w:val="004F4457"/>
    <w:rsid w:val="004F4B1E"/>
    <w:rsid w:val="004F670C"/>
    <w:rsid w:val="004F73EB"/>
    <w:rsid w:val="004F74F8"/>
    <w:rsid w:val="004F7D97"/>
    <w:rsid w:val="00501C9B"/>
    <w:rsid w:val="005035E6"/>
    <w:rsid w:val="00504DD4"/>
    <w:rsid w:val="00505523"/>
    <w:rsid w:val="0050588E"/>
    <w:rsid w:val="00506106"/>
    <w:rsid w:val="00506F9D"/>
    <w:rsid w:val="00510ED3"/>
    <w:rsid w:val="005113BB"/>
    <w:rsid w:val="00511F2B"/>
    <w:rsid w:val="005124F0"/>
    <w:rsid w:val="00512BC8"/>
    <w:rsid w:val="00513C20"/>
    <w:rsid w:val="00514930"/>
    <w:rsid w:val="00514E8A"/>
    <w:rsid w:val="00516A43"/>
    <w:rsid w:val="00522D40"/>
    <w:rsid w:val="0052374E"/>
    <w:rsid w:val="00525662"/>
    <w:rsid w:val="00525B88"/>
    <w:rsid w:val="00526094"/>
    <w:rsid w:val="005300FE"/>
    <w:rsid w:val="0053122E"/>
    <w:rsid w:val="00531A8B"/>
    <w:rsid w:val="00535921"/>
    <w:rsid w:val="0053758A"/>
    <w:rsid w:val="00541368"/>
    <w:rsid w:val="00542156"/>
    <w:rsid w:val="005433E1"/>
    <w:rsid w:val="005438AA"/>
    <w:rsid w:val="00543EBD"/>
    <w:rsid w:val="00544B08"/>
    <w:rsid w:val="005457A4"/>
    <w:rsid w:val="00546EA6"/>
    <w:rsid w:val="005503EE"/>
    <w:rsid w:val="00550CC1"/>
    <w:rsid w:val="00550D18"/>
    <w:rsid w:val="00551945"/>
    <w:rsid w:val="00551F05"/>
    <w:rsid w:val="00552E73"/>
    <w:rsid w:val="00553943"/>
    <w:rsid w:val="00553953"/>
    <w:rsid w:val="00553D93"/>
    <w:rsid w:val="00554169"/>
    <w:rsid w:val="005546D3"/>
    <w:rsid w:val="00554A59"/>
    <w:rsid w:val="00556374"/>
    <w:rsid w:val="005568C2"/>
    <w:rsid w:val="00557CDE"/>
    <w:rsid w:val="00557DA0"/>
    <w:rsid w:val="00557F89"/>
    <w:rsid w:val="0056135C"/>
    <w:rsid w:val="00561DF9"/>
    <w:rsid w:val="00562DF0"/>
    <w:rsid w:val="00563BA5"/>
    <w:rsid w:val="00563CE9"/>
    <w:rsid w:val="0056414A"/>
    <w:rsid w:val="00565086"/>
    <w:rsid w:val="00567A53"/>
    <w:rsid w:val="005703F8"/>
    <w:rsid w:val="005704A8"/>
    <w:rsid w:val="0057105A"/>
    <w:rsid w:val="00571FB8"/>
    <w:rsid w:val="00572310"/>
    <w:rsid w:val="0057248B"/>
    <w:rsid w:val="00573195"/>
    <w:rsid w:val="00573C88"/>
    <w:rsid w:val="00574695"/>
    <w:rsid w:val="00575B59"/>
    <w:rsid w:val="00575DFE"/>
    <w:rsid w:val="00580DE9"/>
    <w:rsid w:val="00581AF7"/>
    <w:rsid w:val="005855D5"/>
    <w:rsid w:val="00586679"/>
    <w:rsid w:val="00587381"/>
    <w:rsid w:val="00587D9B"/>
    <w:rsid w:val="00591267"/>
    <w:rsid w:val="00591C83"/>
    <w:rsid w:val="00591F10"/>
    <w:rsid w:val="005930AD"/>
    <w:rsid w:val="005938C0"/>
    <w:rsid w:val="00593F92"/>
    <w:rsid w:val="00594570"/>
    <w:rsid w:val="005950A7"/>
    <w:rsid w:val="005953DE"/>
    <w:rsid w:val="005956B9"/>
    <w:rsid w:val="005A07D2"/>
    <w:rsid w:val="005A2777"/>
    <w:rsid w:val="005A4479"/>
    <w:rsid w:val="005A520E"/>
    <w:rsid w:val="005A63D7"/>
    <w:rsid w:val="005A64A2"/>
    <w:rsid w:val="005B006D"/>
    <w:rsid w:val="005B0E55"/>
    <w:rsid w:val="005B2761"/>
    <w:rsid w:val="005B3927"/>
    <w:rsid w:val="005B3D5B"/>
    <w:rsid w:val="005B43C3"/>
    <w:rsid w:val="005B5064"/>
    <w:rsid w:val="005B5D0E"/>
    <w:rsid w:val="005B6238"/>
    <w:rsid w:val="005B677D"/>
    <w:rsid w:val="005C0C01"/>
    <w:rsid w:val="005C0C0E"/>
    <w:rsid w:val="005C12C8"/>
    <w:rsid w:val="005C1A80"/>
    <w:rsid w:val="005C39EB"/>
    <w:rsid w:val="005C3ECE"/>
    <w:rsid w:val="005C67AF"/>
    <w:rsid w:val="005D03EC"/>
    <w:rsid w:val="005D0719"/>
    <w:rsid w:val="005D10CF"/>
    <w:rsid w:val="005D7269"/>
    <w:rsid w:val="005D72B8"/>
    <w:rsid w:val="005D7605"/>
    <w:rsid w:val="005E0866"/>
    <w:rsid w:val="005E1E19"/>
    <w:rsid w:val="005E235B"/>
    <w:rsid w:val="005E4289"/>
    <w:rsid w:val="005E440A"/>
    <w:rsid w:val="005E443D"/>
    <w:rsid w:val="005E7112"/>
    <w:rsid w:val="005F011E"/>
    <w:rsid w:val="005F0D6C"/>
    <w:rsid w:val="005F2739"/>
    <w:rsid w:val="005F337E"/>
    <w:rsid w:val="005F504F"/>
    <w:rsid w:val="005F53B8"/>
    <w:rsid w:val="005F559F"/>
    <w:rsid w:val="005F65E0"/>
    <w:rsid w:val="00600454"/>
    <w:rsid w:val="006029F4"/>
    <w:rsid w:val="00602BE9"/>
    <w:rsid w:val="006037F3"/>
    <w:rsid w:val="006038EE"/>
    <w:rsid w:val="006040BC"/>
    <w:rsid w:val="00605122"/>
    <w:rsid w:val="00605C80"/>
    <w:rsid w:val="00606924"/>
    <w:rsid w:val="00607B19"/>
    <w:rsid w:val="006102D0"/>
    <w:rsid w:val="00610DB9"/>
    <w:rsid w:val="00615F3A"/>
    <w:rsid w:val="00616891"/>
    <w:rsid w:val="00616AC4"/>
    <w:rsid w:val="00616DBB"/>
    <w:rsid w:val="00620F27"/>
    <w:rsid w:val="00621D54"/>
    <w:rsid w:val="00623AB0"/>
    <w:rsid w:val="00623DA9"/>
    <w:rsid w:val="00625429"/>
    <w:rsid w:val="006255CD"/>
    <w:rsid w:val="0062669D"/>
    <w:rsid w:val="0063014D"/>
    <w:rsid w:val="00630692"/>
    <w:rsid w:val="00630A3A"/>
    <w:rsid w:val="00630AEE"/>
    <w:rsid w:val="00630E73"/>
    <w:rsid w:val="006334A2"/>
    <w:rsid w:val="00635760"/>
    <w:rsid w:val="00636497"/>
    <w:rsid w:val="006372EF"/>
    <w:rsid w:val="0063772F"/>
    <w:rsid w:val="006412AF"/>
    <w:rsid w:val="006418C7"/>
    <w:rsid w:val="00642437"/>
    <w:rsid w:val="0064456D"/>
    <w:rsid w:val="006454FC"/>
    <w:rsid w:val="00645BE9"/>
    <w:rsid w:val="00645E93"/>
    <w:rsid w:val="00645F97"/>
    <w:rsid w:val="0064723B"/>
    <w:rsid w:val="006473A3"/>
    <w:rsid w:val="00647F1D"/>
    <w:rsid w:val="00651127"/>
    <w:rsid w:val="00653DED"/>
    <w:rsid w:val="00654337"/>
    <w:rsid w:val="00654799"/>
    <w:rsid w:val="00655F4B"/>
    <w:rsid w:val="0065684E"/>
    <w:rsid w:val="00657DF9"/>
    <w:rsid w:val="00657F15"/>
    <w:rsid w:val="00657FD9"/>
    <w:rsid w:val="006610EC"/>
    <w:rsid w:val="00661BB1"/>
    <w:rsid w:val="0066407A"/>
    <w:rsid w:val="006640F0"/>
    <w:rsid w:val="00664480"/>
    <w:rsid w:val="00664C7F"/>
    <w:rsid w:val="0066645F"/>
    <w:rsid w:val="00670CB9"/>
    <w:rsid w:val="00671655"/>
    <w:rsid w:val="006720F5"/>
    <w:rsid w:val="00672C7C"/>
    <w:rsid w:val="0067472C"/>
    <w:rsid w:val="006750E7"/>
    <w:rsid w:val="00676623"/>
    <w:rsid w:val="00676B3F"/>
    <w:rsid w:val="00676C11"/>
    <w:rsid w:val="00682012"/>
    <w:rsid w:val="00683FC3"/>
    <w:rsid w:val="00685C85"/>
    <w:rsid w:val="00686A46"/>
    <w:rsid w:val="00690841"/>
    <w:rsid w:val="006908AF"/>
    <w:rsid w:val="0069126D"/>
    <w:rsid w:val="006918D2"/>
    <w:rsid w:val="00691DB3"/>
    <w:rsid w:val="00691E1A"/>
    <w:rsid w:val="00691E80"/>
    <w:rsid w:val="006925F5"/>
    <w:rsid w:val="00692EEE"/>
    <w:rsid w:val="006932C9"/>
    <w:rsid w:val="0069350D"/>
    <w:rsid w:val="00693D48"/>
    <w:rsid w:val="00694484"/>
    <w:rsid w:val="00695832"/>
    <w:rsid w:val="006958DF"/>
    <w:rsid w:val="00695B69"/>
    <w:rsid w:val="006976B5"/>
    <w:rsid w:val="006A2D48"/>
    <w:rsid w:val="006A363A"/>
    <w:rsid w:val="006A6EAF"/>
    <w:rsid w:val="006A6FCB"/>
    <w:rsid w:val="006A70DE"/>
    <w:rsid w:val="006B06F6"/>
    <w:rsid w:val="006B09B6"/>
    <w:rsid w:val="006B0FB4"/>
    <w:rsid w:val="006B15DC"/>
    <w:rsid w:val="006B2426"/>
    <w:rsid w:val="006B3BAF"/>
    <w:rsid w:val="006B3D1C"/>
    <w:rsid w:val="006B47B7"/>
    <w:rsid w:val="006B49D4"/>
    <w:rsid w:val="006B563E"/>
    <w:rsid w:val="006B5779"/>
    <w:rsid w:val="006C3146"/>
    <w:rsid w:val="006C37C2"/>
    <w:rsid w:val="006C3924"/>
    <w:rsid w:val="006C3ECC"/>
    <w:rsid w:val="006C4625"/>
    <w:rsid w:val="006C5DBD"/>
    <w:rsid w:val="006C5F41"/>
    <w:rsid w:val="006C7FC8"/>
    <w:rsid w:val="006D069E"/>
    <w:rsid w:val="006D546A"/>
    <w:rsid w:val="006D5B78"/>
    <w:rsid w:val="006D61F5"/>
    <w:rsid w:val="006D79F3"/>
    <w:rsid w:val="006E11CC"/>
    <w:rsid w:val="006E26CF"/>
    <w:rsid w:val="006E3FEB"/>
    <w:rsid w:val="006E4708"/>
    <w:rsid w:val="006E5175"/>
    <w:rsid w:val="006E5B1D"/>
    <w:rsid w:val="006E5E37"/>
    <w:rsid w:val="006F15C5"/>
    <w:rsid w:val="006F22B1"/>
    <w:rsid w:val="006F2512"/>
    <w:rsid w:val="006F4E46"/>
    <w:rsid w:val="006F6BCC"/>
    <w:rsid w:val="006F6EAF"/>
    <w:rsid w:val="00700914"/>
    <w:rsid w:val="00701C6E"/>
    <w:rsid w:val="0070256B"/>
    <w:rsid w:val="0070303F"/>
    <w:rsid w:val="00703F4E"/>
    <w:rsid w:val="007050B2"/>
    <w:rsid w:val="00707623"/>
    <w:rsid w:val="00711108"/>
    <w:rsid w:val="00711346"/>
    <w:rsid w:val="0071216A"/>
    <w:rsid w:val="0071262C"/>
    <w:rsid w:val="007142CA"/>
    <w:rsid w:val="00715465"/>
    <w:rsid w:val="00715582"/>
    <w:rsid w:val="00715AF7"/>
    <w:rsid w:val="00716701"/>
    <w:rsid w:val="00716C58"/>
    <w:rsid w:val="00717894"/>
    <w:rsid w:val="00717F12"/>
    <w:rsid w:val="00720991"/>
    <w:rsid w:val="007215ED"/>
    <w:rsid w:val="00721DE0"/>
    <w:rsid w:val="00722FFB"/>
    <w:rsid w:val="00723155"/>
    <w:rsid w:val="00723517"/>
    <w:rsid w:val="0072378A"/>
    <w:rsid w:val="00723F0D"/>
    <w:rsid w:val="00727E66"/>
    <w:rsid w:val="0073004E"/>
    <w:rsid w:val="00733351"/>
    <w:rsid w:val="00734096"/>
    <w:rsid w:val="007345B1"/>
    <w:rsid w:val="00734D5F"/>
    <w:rsid w:val="00735235"/>
    <w:rsid w:val="00737690"/>
    <w:rsid w:val="00740D53"/>
    <w:rsid w:val="00742D74"/>
    <w:rsid w:val="007437D8"/>
    <w:rsid w:val="00743DAE"/>
    <w:rsid w:val="00744455"/>
    <w:rsid w:val="00745FAA"/>
    <w:rsid w:val="00746569"/>
    <w:rsid w:val="0074671A"/>
    <w:rsid w:val="00746DA5"/>
    <w:rsid w:val="00750529"/>
    <w:rsid w:val="00752D68"/>
    <w:rsid w:val="00753A3D"/>
    <w:rsid w:val="00753F69"/>
    <w:rsid w:val="007546CA"/>
    <w:rsid w:val="00754880"/>
    <w:rsid w:val="007554E0"/>
    <w:rsid w:val="00755813"/>
    <w:rsid w:val="00755C20"/>
    <w:rsid w:val="00755E0A"/>
    <w:rsid w:val="00757032"/>
    <w:rsid w:val="00757C82"/>
    <w:rsid w:val="0076053E"/>
    <w:rsid w:val="00760917"/>
    <w:rsid w:val="00760FE0"/>
    <w:rsid w:val="0076143A"/>
    <w:rsid w:val="007616AF"/>
    <w:rsid w:val="0076195B"/>
    <w:rsid w:val="00761F45"/>
    <w:rsid w:val="00762593"/>
    <w:rsid w:val="00762B4F"/>
    <w:rsid w:val="00763838"/>
    <w:rsid w:val="00763F1C"/>
    <w:rsid w:val="00764339"/>
    <w:rsid w:val="007643FD"/>
    <w:rsid w:val="00764DD1"/>
    <w:rsid w:val="00764E3E"/>
    <w:rsid w:val="007659D5"/>
    <w:rsid w:val="007665C7"/>
    <w:rsid w:val="0076690C"/>
    <w:rsid w:val="00766ABD"/>
    <w:rsid w:val="00767CD8"/>
    <w:rsid w:val="00770FEE"/>
    <w:rsid w:val="0077134A"/>
    <w:rsid w:val="00771C53"/>
    <w:rsid w:val="007731C0"/>
    <w:rsid w:val="00773710"/>
    <w:rsid w:val="00774BBE"/>
    <w:rsid w:val="0077578C"/>
    <w:rsid w:val="007760E2"/>
    <w:rsid w:val="0077674D"/>
    <w:rsid w:val="00776900"/>
    <w:rsid w:val="00776E66"/>
    <w:rsid w:val="00777088"/>
    <w:rsid w:val="007770FE"/>
    <w:rsid w:val="00780C99"/>
    <w:rsid w:val="007811F5"/>
    <w:rsid w:val="0078141B"/>
    <w:rsid w:val="00782052"/>
    <w:rsid w:val="00782532"/>
    <w:rsid w:val="00783389"/>
    <w:rsid w:val="00783C5C"/>
    <w:rsid w:val="00783C72"/>
    <w:rsid w:val="00785821"/>
    <w:rsid w:val="00785C62"/>
    <w:rsid w:val="0078653B"/>
    <w:rsid w:val="00786F08"/>
    <w:rsid w:val="0078735B"/>
    <w:rsid w:val="0079188F"/>
    <w:rsid w:val="00791B5F"/>
    <w:rsid w:val="00792432"/>
    <w:rsid w:val="00792EE0"/>
    <w:rsid w:val="00793A76"/>
    <w:rsid w:val="007946DA"/>
    <w:rsid w:val="00795089"/>
    <w:rsid w:val="007966BB"/>
    <w:rsid w:val="00796F71"/>
    <w:rsid w:val="00797E26"/>
    <w:rsid w:val="00797E92"/>
    <w:rsid w:val="007A0FA6"/>
    <w:rsid w:val="007A1E16"/>
    <w:rsid w:val="007A2DD4"/>
    <w:rsid w:val="007A63A4"/>
    <w:rsid w:val="007A7074"/>
    <w:rsid w:val="007A72B5"/>
    <w:rsid w:val="007B0BC2"/>
    <w:rsid w:val="007B10CD"/>
    <w:rsid w:val="007B2ED0"/>
    <w:rsid w:val="007B32C3"/>
    <w:rsid w:val="007B360F"/>
    <w:rsid w:val="007B47FE"/>
    <w:rsid w:val="007C016B"/>
    <w:rsid w:val="007C1114"/>
    <w:rsid w:val="007C12AD"/>
    <w:rsid w:val="007C28F6"/>
    <w:rsid w:val="007C3212"/>
    <w:rsid w:val="007C3480"/>
    <w:rsid w:val="007C37B9"/>
    <w:rsid w:val="007C530E"/>
    <w:rsid w:val="007C589A"/>
    <w:rsid w:val="007C59BF"/>
    <w:rsid w:val="007C6647"/>
    <w:rsid w:val="007C70F8"/>
    <w:rsid w:val="007C7160"/>
    <w:rsid w:val="007D02A9"/>
    <w:rsid w:val="007D0388"/>
    <w:rsid w:val="007D1CD7"/>
    <w:rsid w:val="007D3346"/>
    <w:rsid w:val="007D33DC"/>
    <w:rsid w:val="007D3804"/>
    <w:rsid w:val="007D3C8A"/>
    <w:rsid w:val="007D3D07"/>
    <w:rsid w:val="007D54EB"/>
    <w:rsid w:val="007D5A63"/>
    <w:rsid w:val="007D5AAD"/>
    <w:rsid w:val="007D6970"/>
    <w:rsid w:val="007D78A0"/>
    <w:rsid w:val="007D7B58"/>
    <w:rsid w:val="007D7D96"/>
    <w:rsid w:val="007E0809"/>
    <w:rsid w:val="007E1174"/>
    <w:rsid w:val="007E1B89"/>
    <w:rsid w:val="007E2610"/>
    <w:rsid w:val="007E3585"/>
    <w:rsid w:val="007E3899"/>
    <w:rsid w:val="007E464E"/>
    <w:rsid w:val="007E4B16"/>
    <w:rsid w:val="007E4EA6"/>
    <w:rsid w:val="007E6360"/>
    <w:rsid w:val="007F0F0A"/>
    <w:rsid w:val="007F1EDA"/>
    <w:rsid w:val="007F247B"/>
    <w:rsid w:val="007F7744"/>
    <w:rsid w:val="007F7D7E"/>
    <w:rsid w:val="008001E1"/>
    <w:rsid w:val="00800370"/>
    <w:rsid w:val="00800A7B"/>
    <w:rsid w:val="00800C17"/>
    <w:rsid w:val="00802660"/>
    <w:rsid w:val="00802DC3"/>
    <w:rsid w:val="00804A33"/>
    <w:rsid w:val="00805557"/>
    <w:rsid w:val="008061D6"/>
    <w:rsid w:val="008077C0"/>
    <w:rsid w:val="00807D03"/>
    <w:rsid w:val="00807FE5"/>
    <w:rsid w:val="00810096"/>
    <w:rsid w:val="0081089B"/>
    <w:rsid w:val="00810FD8"/>
    <w:rsid w:val="00811AD6"/>
    <w:rsid w:val="00813A04"/>
    <w:rsid w:val="008140B1"/>
    <w:rsid w:val="00815C58"/>
    <w:rsid w:val="0081684C"/>
    <w:rsid w:val="00817704"/>
    <w:rsid w:val="00817E50"/>
    <w:rsid w:val="00817FFA"/>
    <w:rsid w:val="00821A63"/>
    <w:rsid w:val="00822D42"/>
    <w:rsid w:val="008233C7"/>
    <w:rsid w:val="0082340E"/>
    <w:rsid w:val="0082368A"/>
    <w:rsid w:val="00823B97"/>
    <w:rsid w:val="00824796"/>
    <w:rsid w:val="00825DD6"/>
    <w:rsid w:val="00825E66"/>
    <w:rsid w:val="00825FD3"/>
    <w:rsid w:val="00827161"/>
    <w:rsid w:val="008304D4"/>
    <w:rsid w:val="008317ED"/>
    <w:rsid w:val="00832B77"/>
    <w:rsid w:val="00833272"/>
    <w:rsid w:val="008359C5"/>
    <w:rsid w:val="008401F4"/>
    <w:rsid w:val="00841497"/>
    <w:rsid w:val="00841E13"/>
    <w:rsid w:val="00843103"/>
    <w:rsid w:val="00843A97"/>
    <w:rsid w:val="00843BA0"/>
    <w:rsid w:val="00843C0E"/>
    <w:rsid w:val="008453F4"/>
    <w:rsid w:val="00846A45"/>
    <w:rsid w:val="0084790A"/>
    <w:rsid w:val="00851602"/>
    <w:rsid w:val="008517E0"/>
    <w:rsid w:val="00851A05"/>
    <w:rsid w:val="008537CA"/>
    <w:rsid w:val="00854D18"/>
    <w:rsid w:val="0085513A"/>
    <w:rsid w:val="0085596A"/>
    <w:rsid w:val="00855B04"/>
    <w:rsid w:val="00856EA7"/>
    <w:rsid w:val="0085797A"/>
    <w:rsid w:val="008579A8"/>
    <w:rsid w:val="00860270"/>
    <w:rsid w:val="0086069C"/>
    <w:rsid w:val="008606D8"/>
    <w:rsid w:val="008607B9"/>
    <w:rsid w:val="00860F90"/>
    <w:rsid w:val="00861E30"/>
    <w:rsid w:val="00866302"/>
    <w:rsid w:val="00867599"/>
    <w:rsid w:val="00867EA3"/>
    <w:rsid w:val="0087003C"/>
    <w:rsid w:val="00870E8B"/>
    <w:rsid w:val="00871F0F"/>
    <w:rsid w:val="0087238B"/>
    <w:rsid w:val="0087320F"/>
    <w:rsid w:val="00873BBC"/>
    <w:rsid w:val="0087462D"/>
    <w:rsid w:val="00875211"/>
    <w:rsid w:val="00875BDE"/>
    <w:rsid w:val="00875C14"/>
    <w:rsid w:val="00876172"/>
    <w:rsid w:val="00877417"/>
    <w:rsid w:val="00877FBD"/>
    <w:rsid w:val="00880D94"/>
    <w:rsid w:val="00881ACA"/>
    <w:rsid w:val="00881BF2"/>
    <w:rsid w:val="00882CA0"/>
    <w:rsid w:val="00883968"/>
    <w:rsid w:val="00883C4B"/>
    <w:rsid w:val="008847EC"/>
    <w:rsid w:val="0088561D"/>
    <w:rsid w:val="00886271"/>
    <w:rsid w:val="00886692"/>
    <w:rsid w:val="008871EC"/>
    <w:rsid w:val="008872CC"/>
    <w:rsid w:val="00887419"/>
    <w:rsid w:val="00887BCF"/>
    <w:rsid w:val="008902F5"/>
    <w:rsid w:val="00891697"/>
    <w:rsid w:val="008926C2"/>
    <w:rsid w:val="008929B8"/>
    <w:rsid w:val="008944FF"/>
    <w:rsid w:val="00894DB2"/>
    <w:rsid w:val="00897BF9"/>
    <w:rsid w:val="008A0B8C"/>
    <w:rsid w:val="008A0B9A"/>
    <w:rsid w:val="008A1CA6"/>
    <w:rsid w:val="008A1D58"/>
    <w:rsid w:val="008A280F"/>
    <w:rsid w:val="008A3C5F"/>
    <w:rsid w:val="008A518F"/>
    <w:rsid w:val="008A6672"/>
    <w:rsid w:val="008A7052"/>
    <w:rsid w:val="008A78B6"/>
    <w:rsid w:val="008B0A9D"/>
    <w:rsid w:val="008B0C04"/>
    <w:rsid w:val="008B2159"/>
    <w:rsid w:val="008B2883"/>
    <w:rsid w:val="008B2E82"/>
    <w:rsid w:val="008C0385"/>
    <w:rsid w:val="008C172D"/>
    <w:rsid w:val="008C3B36"/>
    <w:rsid w:val="008C47E7"/>
    <w:rsid w:val="008C5233"/>
    <w:rsid w:val="008C7304"/>
    <w:rsid w:val="008C7516"/>
    <w:rsid w:val="008D0CF8"/>
    <w:rsid w:val="008D24CF"/>
    <w:rsid w:val="008D399F"/>
    <w:rsid w:val="008D3D78"/>
    <w:rsid w:val="008D5012"/>
    <w:rsid w:val="008D5293"/>
    <w:rsid w:val="008D6DF3"/>
    <w:rsid w:val="008E046C"/>
    <w:rsid w:val="008E07DF"/>
    <w:rsid w:val="008E34CB"/>
    <w:rsid w:val="008E5026"/>
    <w:rsid w:val="008E5142"/>
    <w:rsid w:val="008E7251"/>
    <w:rsid w:val="008E7350"/>
    <w:rsid w:val="008F2EC1"/>
    <w:rsid w:val="008F341F"/>
    <w:rsid w:val="008F3809"/>
    <w:rsid w:val="008F522A"/>
    <w:rsid w:val="008F56F8"/>
    <w:rsid w:val="008F5A7D"/>
    <w:rsid w:val="008F63F6"/>
    <w:rsid w:val="008F6552"/>
    <w:rsid w:val="008F69C2"/>
    <w:rsid w:val="008F70D2"/>
    <w:rsid w:val="008F71FC"/>
    <w:rsid w:val="00902F7E"/>
    <w:rsid w:val="00903CC9"/>
    <w:rsid w:val="00903EDE"/>
    <w:rsid w:val="009041C8"/>
    <w:rsid w:val="009045E8"/>
    <w:rsid w:val="0090594F"/>
    <w:rsid w:val="00910B0D"/>
    <w:rsid w:val="0091171D"/>
    <w:rsid w:val="00911B71"/>
    <w:rsid w:val="00911D4A"/>
    <w:rsid w:val="00912FB0"/>
    <w:rsid w:val="00916125"/>
    <w:rsid w:val="009169DD"/>
    <w:rsid w:val="00920C9E"/>
    <w:rsid w:val="00921ABD"/>
    <w:rsid w:val="00921B61"/>
    <w:rsid w:val="00922813"/>
    <w:rsid w:val="00924993"/>
    <w:rsid w:val="00924B00"/>
    <w:rsid w:val="00925193"/>
    <w:rsid w:val="00925763"/>
    <w:rsid w:val="009260DA"/>
    <w:rsid w:val="0092612E"/>
    <w:rsid w:val="00926263"/>
    <w:rsid w:val="00926A4F"/>
    <w:rsid w:val="009301BC"/>
    <w:rsid w:val="0093050E"/>
    <w:rsid w:val="0093084D"/>
    <w:rsid w:val="00931EFA"/>
    <w:rsid w:val="00932544"/>
    <w:rsid w:val="00932E02"/>
    <w:rsid w:val="009331C4"/>
    <w:rsid w:val="00933596"/>
    <w:rsid w:val="00933891"/>
    <w:rsid w:val="00933B0B"/>
    <w:rsid w:val="00934349"/>
    <w:rsid w:val="00934CF8"/>
    <w:rsid w:val="009354FF"/>
    <w:rsid w:val="00936E82"/>
    <w:rsid w:val="0093774F"/>
    <w:rsid w:val="0093796A"/>
    <w:rsid w:val="00937B05"/>
    <w:rsid w:val="00941549"/>
    <w:rsid w:val="009417F5"/>
    <w:rsid w:val="00941848"/>
    <w:rsid w:val="00942173"/>
    <w:rsid w:val="00942382"/>
    <w:rsid w:val="00942939"/>
    <w:rsid w:val="00943849"/>
    <w:rsid w:val="009457CC"/>
    <w:rsid w:val="0094633D"/>
    <w:rsid w:val="0094699E"/>
    <w:rsid w:val="009476D7"/>
    <w:rsid w:val="00947A27"/>
    <w:rsid w:val="00950696"/>
    <w:rsid w:val="009513C1"/>
    <w:rsid w:val="00951621"/>
    <w:rsid w:val="00951806"/>
    <w:rsid w:val="009539BB"/>
    <w:rsid w:val="009540A8"/>
    <w:rsid w:val="00954A80"/>
    <w:rsid w:val="00954C4B"/>
    <w:rsid w:val="00957B13"/>
    <w:rsid w:val="00957F3A"/>
    <w:rsid w:val="009606B6"/>
    <w:rsid w:val="00960D1A"/>
    <w:rsid w:val="00962FAF"/>
    <w:rsid w:val="0096375A"/>
    <w:rsid w:val="00963AE5"/>
    <w:rsid w:val="009666A8"/>
    <w:rsid w:val="00966C88"/>
    <w:rsid w:val="009677D3"/>
    <w:rsid w:val="00971680"/>
    <w:rsid w:val="00971B20"/>
    <w:rsid w:val="00972FC9"/>
    <w:rsid w:val="00973463"/>
    <w:rsid w:val="0097399D"/>
    <w:rsid w:val="009745E3"/>
    <w:rsid w:val="0097482D"/>
    <w:rsid w:val="00975D89"/>
    <w:rsid w:val="00976C25"/>
    <w:rsid w:val="00976E67"/>
    <w:rsid w:val="009800A5"/>
    <w:rsid w:val="00980D4A"/>
    <w:rsid w:val="0098161F"/>
    <w:rsid w:val="0098256B"/>
    <w:rsid w:val="00983756"/>
    <w:rsid w:val="009846CA"/>
    <w:rsid w:val="009873A2"/>
    <w:rsid w:val="00987E7F"/>
    <w:rsid w:val="00991176"/>
    <w:rsid w:val="00991544"/>
    <w:rsid w:val="00992B05"/>
    <w:rsid w:val="00994BA7"/>
    <w:rsid w:val="009954D5"/>
    <w:rsid w:val="00995CBC"/>
    <w:rsid w:val="0099615E"/>
    <w:rsid w:val="00996C4C"/>
    <w:rsid w:val="009A0701"/>
    <w:rsid w:val="009A096B"/>
    <w:rsid w:val="009A3919"/>
    <w:rsid w:val="009A45A5"/>
    <w:rsid w:val="009A5806"/>
    <w:rsid w:val="009A5C87"/>
    <w:rsid w:val="009A5DFF"/>
    <w:rsid w:val="009A666E"/>
    <w:rsid w:val="009A67F7"/>
    <w:rsid w:val="009A6D39"/>
    <w:rsid w:val="009A7171"/>
    <w:rsid w:val="009A77FA"/>
    <w:rsid w:val="009A78BB"/>
    <w:rsid w:val="009B0155"/>
    <w:rsid w:val="009B1431"/>
    <w:rsid w:val="009B174E"/>
    <w:rsid w:val="009B1A13"/>
    <w:rsid w:val="009B1FC4"/>
    <w:rsid w:val="009B2E01"/>
    <w:rsid w:val="009B5AA2"/>
    <w:rsid w:val="009B7377"/>
    <w:rsid w:val="009B7625"/>
    <w:rsid w:val="009B7A87"/>
    <w:rsid w:val="009B7DDA"/>
    <w:rsid w:val="009C0439"/>
    <w:rsid w:val="009C15F9"/>
    <w:rsid w:val="009C25D2"/>
    <w:rsid w:val="009C5572"/>
    <w:rsid w:val="009C5F81"/>
    <w:rsid w:val="009C6883"/>
    <w:rsid w:val="009C7BAE"/>
    <w:rsid w:val="009C7C79"/>
    <w:rsid w:val="009D0CAC"/>
    <w:rsid w:val="009D26D5"/>
    <w:rsid w:val="009D4C33"/>
    <w:rsid w:val="009D689C"/>
    <w:rsid w:val="009D722B"/>
    <w:rsid w:val="009D79AB"/>
    <w:rsid w:val="009D7F89"/>
    <w:rsid w:val="009E0F75"/>
    <w:rsid w:val="009E391F"/>
    <w:rsid w:val="009E4DD7"/>
    <w:rsid w:val="009E5F45"/>
    <w:rsid w:val="009E664C"/>
    <w:rsid w:val="009E6F61"/>
    <w:rsid w:val="009E7AE1"/>
    <w:rsid w:val="009F2957"/>
    <w:rsid w:val="009F2DCC"/>
    <w:rsid w:val="009F4113"/>
    <w:rsid w:val="009F53AA"/>
    <w:rsid w:val="009F5C7E"/>
    <w:rsid w:val="009F6D38"/>
    <w:rsid w:val="00A017EB"/>
    <w:rsid w:val="00A02703"/>
    <w:rsid w:val="00A03845"/>
    <w:rsid w:val="00A04B50"/>
    <w:rsid w:val="00A06B98"/>
    <w:rsid w:val="00A1034A"/>
    <w:rsid w:val="00A1060A"/>
    <w:rsid w:val="00A10EA0"/>
    <w:rsid w:val="00A113A7"/>
    <w:rsid w:val="00A14422"/>
    <w:rsid w:val="00A166EC"/>
    <w:rsid w:val="00A16C6F"/>
    <w:rsid w:val="00A170BD"/>
    <w:rsid w:val="00A174BB"/>
    <w:rsid w:val="00A1769D"/>
    <w:rsid w:val="00A17F19"/>
    <w:rsid w:val="00A20FA7"/>
    <w:rsid w:val="00A2166A"/>
    <w:rsid w:val="00A21BBF"/>
    <w:rsid w:val="00A2200D"/>
    <w:rsid w:val="00A24927"/>
    <w:rsid w:val="00A26928"/>
    <w:rsid w:val="00A26ECF"/>
    <w:rsid w:val="00A27085"/>
    <w:rsid w:val="00A27C17"/>
    <w:rsid w:val="00A315C0"/>
    <w:rsid w:val="00A31D7F"/>
    <w:rsid w:val="00A332CB"/>
    <w:rsid w:val="00A33AF2"/>
    <w:rsid w:val="00A3580A"/>
    <w:rsid w:val="00A4014B"/>
    <w:rsid w:val="00A40DDC"/>
    <w:rsid w:val="00A41AE9"/>
    <w:rsid w:val="00A422CE"/>
    <w:rsid w:val="00A42EEC"/>
    <w:rsid w:val="00A433E9"/>
    <w:rsid w:val="00A44176"/>
    <w:rsid w:val="00A45A5E"/>
    <w:rsid w:val="00A462A0"/>
    <w:rsid w:val="00A50055"/>
    <w:rsid w:val="00A51231"/>
    <w:rsid w:val="00A51516"/>
    <w:rsid w:val="00A537CB"/>
    <w:rsid w:val="00A57AA8"/>
    <w:rsid w:val="00A6031B"/>
    <w:rsid w:val="00A60345"/>
    <w:rsid w:val="00A614D5"/>
    <w:rsid w:val="00A61C12"/>
    <w:rsid w:val="00A650E5"/>
    <w:rsid w:val="00A65719"/>
    <w:rsid w:val="00A65789"/>
    <w:rsid w:val="00A66421"/>
    <w:rsid w:val="00A67C25"/>
    <w:rsid w:val="00A67C4C"/>
    <w:rsid w:val="00A67CD4"/>
    <w:rsid w:val="00A7087C"/>
    <w:rsid w:val="00A71065"/>
    <w:rsid w:val="00A7139B"/>
    <w:rsid w:val="00A72396"/>
    <w:rsid w:val="00A7462D"/>
    <w:rsid w:val="00A74B8B"/>
    <w:rsid w:val="00A751A8"/>
    <w:rsid w:val="00A7543C"/>
    <w:rsid w:val="00A771E0"/>
    <w:rsid w:val="00A77F92"/>
    <w:rsid w:val="00A80C1B"/>
    <w:rsid w:val="00A80E83"/>
    <w:rsid w:val="00A80FCE"/>
    <w:rsid w:val="00A814C4"/>
    <w:rsid w:val="00A81BE9"/>
    <w:rsid w:val="00A8335A"/>
    <w:rsid w:val="00A83A47"/>
    <w:rsid w:val="00A85B73"/>
    <w:rsid w:val="00A864C6"/>
    <w:rsid w:val="00A865CC"/>
    <w:rsid w:val="00A86E95"/>
    <w:rsid w:val="00A905BB"/>
    <w:rsid w:val="00A907F8"/>
    <w:rsid w:val="00A9315A"/>
    <w:rsid w:val="00A934CB"/>
    <w:rsid w:val="00A938CA"/>
    <w:rsid w:val="00A93E5C"/>
    <w:rsid w:val="00A957B6"/>
    <w:rsid w:val="00A96139"/>
    <w:rsid w:val="00A96554"/>
    <w:rsid w:val="00A969A1"/>
    <w:rsid w:val="00A96AF7"/>
    <w:rsid w:val="00A9743A"/>
    <w:rsid w:val="00A97787"/>
    <w:rsid w:val="00AA1A2D"/>
    <w:rsid w:val="00AA1AAC"/>
    <w:rsid w:val="00AA1D2C"/>
    <w:rsid w:val="00AA271F"/>
    <w:rsid w:val="00AA2CE0"/>
    <w:rsid w:val="00AA5625"/>
    <w:rsid w:val="00AA6890"/>
    <w:rsid w:val="00AA7B29"/>
    <w:rsid w:val="00AB0CE6"/>
    <w:rsid w:val="00AB0E76"/>
    <w:rsid w:val="00AB1031"/>
    <w:rsid w:val="00AB2647"/>
    <w:rsid w:val="00AB2BFA"/>
    <w:rsid w:val="00AB33D0"/>
    <w:rsid w:val="00AB3934"/>
    <w:rsid w:val="00AB52CB"/>
    <w:rsid w:val="00AB53FF"/>
    <w:rsid w:val="00AB54CB"/>
    <w:rsid w:val="00AB6BF4"/>
    <w:rsid w:val="00AB6D97"/>
    <w:rsid w:val="00AC1588"/>
    <w:rsid w:val="00AC192D"/>
    <w:rsid w:val="00AC2467"/>
    <w:rsid w:val="00AC2CA2"/>
    <w:rsid w:val="00AC2D84"/>
    <w:rsid w:val="00AC46BD"/>
    <w:rsid w:val="00AC4B3A"/>
    <w:rsid w:val="00AC62D7"/>
    <w:rsid w:val="00AC62EE"/>
    <w:rsid w:val="00AC63C6"/>
    <w:rsid w:val="00AC650B"/>
    <w:rsid w:val="00AD28ED"/>
    <w:rsid w:val="00AD2D29"/>
    <w:rsid w:val="00AD3A9D"/>
    <w:rsid w:val="00AD5A29"/>
    <w:rsid w:val="00AD6FBD"/>
    <w:rsid w:val="00AE08DE"/>
    <w:rsid w:val="00AE0B36"/>
    <w:rsid w:val="00AE16E9"/>
    <w:rsid w:val="00AE1DB2"/>
    <w:rsid w:val="00AE2985"/>
    <w:rsid w:val="00AE325A"/>
    <w:rsid w:val="00AE6942"/>
    <w:rsid w:val="00AE7033"/>
    <w:rsid w:val="00AF1610"/>
    <w:rsid w:val="00AF26A6"/>
    <w:rsid w:val="00AF2AC1"/>
    <w:rsid w:val="00AF2E24"/>
    <w:rsid w:val="00AF3D07"/>
    <w:rsid w:val="00AF4768"/>
    <w:rsid w:val="00AF52F8"/>
    <w:rsid w:val="00AF6498"/>
    <w:rsid w:val="00AF678E"/>
    <w:rsid w:val="00AF723D"/>
    <w:rsid w:val="00AF733E"/>
    <w:rsid w:val="00AF73EC"/>
    <w:rsid w:val="00AF77B4"/>
    <w:rsid w:val="00B00DBE"/>
    <w:rsid w:val="00B014E7"/>
    <w:rsid w:val="00B025F3"/>
    <w:rsid w:val="00B03290"/>
    <w:rsid w:val="00B0344F"/>
    <w:rsid w:val="00B10E0B"/>
    <w:rsid w:val="00B11159"/>
    <w:rsid w:val="00B11CE3"/>
    <w:rsid w:val="00B12C98"/>
    <w:rsid w:val="00B12FD5"/>
    <w:rsid w:val="00B13F3C"/>
    <w:rsid w:val="00B149E1"/>
    <w:rsid w:val="00B15CF9"/>
    <w:rsid w:val="00B160D3"/>
    <w:rsid w:val="00B16DF8"/>
    <w:rsid w:val="00B201BC"/>
    <w:rsid w:val="00B204BE"/>
    <w:rsid w:val="00B2052B"/>
    <w:rsid w:val="00B21B56"/>
    <w:rsid w:val="00B21C5C"/>
    <w:rsid w:val="00B2394F"/>
    <w:rsid w:val="00B23EF1"/>
    <w:rsid w:val="00B264A7"/>
    <w:rsid w:val="00B33BFC"/>
    <w:rsid w:val="00B35F86"/>
    <w:rsid w:val="00B372E0"/>
    <w:rsid w:val="00B3758C"/>
    <w:rsid w:val="00B37B9F"/>
    <w:rsid w:val="00B4120F"/>
    <w:rsid w:val="00B41641"/>
    <w:rsid w:val="00B422C2"/>
    <w:rsid w:val="00B432BE"/>
    <w:rsid w:val="00B44947"/>
    <w:rsid w:val="00B44EBA"/>
    <w:rsid w:val="00B46B42"/>
    <w:rsid w:val="00B47CB3"/>
    <w:rsid w:val="00B5001A"/>
    <w:rsid w:val="00B50AF0"/>
    <w:rsid w:val="00B50D7D"/>
    <w:rsid w:val="00B53AAA"/>
    <w:rsid w:val="00B568AF"/>
    <w:rsid w:val="00B5717B"/>
    <w:rsid w:val="00B5752D"/>
    <w:rsid w:val="00B575CA"/>
    <w:rsid w:val="00B57AB5"/>
    <w:rsid w:val="00B61481"/>
    <w:rsid w:val="00B622F7"/>
    <w:rsid w:val="00B62AC3"/>
    <w:rsid w:val="00B63D0C"/>
    <w:rsid w:val="00B642FF"/>
    <w:rsid w:val="00B643C3"/>
    <w:rsid w:val="00B6516F"/>
    <w:rsid w:val="00B6750C"/>
    <w:rsid w:val="00B70815"/>
    <w:rsid w:val="00B70966"/>
    <w:rsid w:val="00B70A11"/>
    <w:rsid w:val="00B745F5"/>
    <w:rsid w:val="00B74B41"/>
    <w:rsid w:val="00B752E7"/>
    <w:rsid w:val="00B754B2"/>
    <w:rsid w:val="00B75BED"/>
    <w:rsid w:val="00B760BE"/>
    <w:rsid w:val="00B7619A"/>
    <w:rsid w:val="00B765B5"/>
    <w:rsid w:val="00B7782E"/>
    <w:rsid w:val="00B7789D"/>
    <w:rsid w:val="00B80B02"/>
    <w:rsid w:val="00B81ABC"/>
    <w:rsid w:val="00B82283"/>
    <w:rsid w:val="00B82C5D"/>
    <w:rsid w:val="00B82CF6"/>
    <w:rsid w:val="00B84904"/>
    <w:rsid w:val="00B871D9"/>
    <w:rsid w:val="00B90218"/>
    <w:rsid w:val="00B915CE"/>
    <w:rsid w:val="00B91BEB"/>
    <w:rsid w:val="00B91F60"/>
    <w:rsid w:val="00B92831"/>
    <w:rsid w:val="00B94792"/>
    <w:rsid w:val="00B947CF"/>
    <w:rsid w:val="00B95169"/>
    <w:rsid w:val="00B96282"/>
    <w:rsid w:val="00B9650D"/>
    <w:rsid w:val="00BA0E78"/>
    <w:rsid w:val="00BA1400"/>
    <w:rsid w:val="00BA1E9B"/>
    <w:rsid w:val="00BA230C"/>
    <w:rsid w:val="00BA28E2"/>
    <w:rsid w:val="00BA5729"/>
    <w:rsid w:val="00BA5D65"/>
    <w:rsid w:val="00BA6DE6"/>
    <w:rsid w:val="00BA7078"/>
    <w:rsid w:val="00BB0AC5"/>
    <w:rsid w:val="00BB4BB3"/>
    <w:rsid w:val="00BB5C70"/>
    <w:rsid w:val="00BB6435"/>
    <w:rsid w:val="00BB6B20"/>
    <w:rsid w:val="00BB6FE5"/>
    <w:rsid w:val="00BC2A83"/>
    <w:rsid w:val="00BC2AD9"/>
    <w:rsid w:val="00BC36EF"/>
    <w:rsid w:val="00BC377D"/>
    <w:rsid w:val="00BC5071"/>
    <w:rsid w:val="00BC5F8A"/>
    <w:rsid w:val="00BC682A"/>
    <w:rsid w:val="00BC6F86"/>
    <w:rsid w:val="00BD002C"/>
    <w:rsid w:val="00BD026F"/>
    <w:rsid w:val="00BD4183"/>
    <w:rsid w:val="00BD5119"/>
    <w:rsid w:val="00BD6614"/>
    <w:rsid w:val="00BD760F"/>
    <w:rsid w:val="00BE0DC8"/>
    <w:rsid w:val="00BE185C"/>
    <w:rsid w:val="00BE196B"/>
    <w:rsid w:val="00BE2072"/>
    <w:rsid w:val="00BE3FA2"/>
    <w:rsid w:val="00BE548C"/>
    <w:rsid w:val="00BE67C9"/>
    <w:rsid w:val="00BF08CE"/>
    <w:rsid w:val="00BF3C82"/>
    <w:rsid w:val="00BF5D8C"/>
    <w:rsid w:val="00BF7040"/>
    <w:rsid w:val="00BF7150"/>
    <w:rsid w:val="00BF74AB"/>
    <w:rsid w:val="00BF7C46"/>
    <w:rsid w:val="00BF7C7D"/>
    <w:rsid w:val="00C0272D"/>
    <w:rsid w:val="00C04E0B"/>
    <w:rsid w:val="00C04FC4"/>
    <w:rsid w:val="00C07C1C"/>
    <w:rsid w:val="00C07EC9"/>
    <w:rsid w:val="00C10369"/>
    <w:rsid w:val="00C10880"/>
    <w:rsid w:val="00C109E4"/>
    <w:rsid w:val="00C10B04"/>
    <w:rsid w:val="00C11589"/>
    <w:rsid w:val="00C127A2"/>
    <w:rsid w:val="00C13075"/>
    <w:rsid w:val="00C1331C"/>
    <w:rsid w:val="00C13335"/>
    <w:rsid w:val="00C13B01"/>
    <w:rsid w:val="00C14ADD"/>
    <w:rsid w:val="00C170FB"/>
    <w:rsid w:val="00C17454"/>
    <w:rsid w:val="00C20336"/>
    <w:rsid w:val="00C205E1"/>
    <w:rsid w:val="00C215D9"/>
    <w:rsid w:val="00C229C6"/>
    <w:rsid w:val="00C231E5"/>
    <w:rsid w:val="00C24377"/>
    <w:rsid w:val="00C246B3"/>
    <w:rsid w:val="00C2527A"/>
    <w:rsid w:val="00C26F39"/>
    <w:rsid w:val="00C274B4"/>
    <w:rsid w:val="00C3317A"/>
    <w:rsid w:val="00C332EA"/>
    <w:rsid w:val="00C33D7B"/>
    <w:rsid w:val="00C33EBA"/>
    <w:rsid w:val="00C34916"/>
    <w:rsid w:val="00C355DF"/>
    <w:rsid w:val="00C37812"/>
    <w:rsid w:val="00C40C15"/>
    <w:rsid w:val="00C40EBE"/>
    <w:rsid w:val="00C41BEC"/>
    <w:rsid w:val="00C4338A"/>
    <w:rsid w:val="00C43EC6"/>
    <w:rsid w:val="00C44537"/>
    <w:rsid w:val="00C4506C"/>
    <w:rsid w:val="00C464A7"/>
    <w:rsid w:val="00C50B50"/>
    <w:rsid w:val="00C5156C"/>
    <w:rsid w:val="00C51B93"/>
    <w:rsid w:val="00C51C45"/>
    <w:rsid w:val="00C527A0"/>
    <w:rsid w:val="00C536B2"/>
    <w:rsid w:val="00C569A3"/>
    <w:rsid w:val="00C61A49"/>
    <w:rsid w:val="00C62AA7"/>
    <w:rsid w:val="00C62B4B"/>
    <w:rsid w:val="00C62D3C"/>
    <w:rsid w:val="00C62E89"/>
    <w:rsid w:val="00C6308A"/>
    <w:rsid w:val="00C6398F"/>
    <w:rsid w:val="00C63C28"/>
    <w:rsid w:val="00C64664"/>
    <w:rsid w:val="00C64C95"/>
    <w:rsid w:val="00C653A1"/>
    <w:rsid w:val="00C66460"/>
    <w:rsid w:val="00C67858"/>
    <w:rsid w:val="00C702ED"/>
    <w:rsid w:val="00C72B93"/>
    <w:rsid w:val="00C73890"/>
    <w:rsid w:val="00C74287"/>
    <w:rsid w:val="00C75087"/>
    <w:rsid w:val="00C758D7"/>
    <w:rsid w:val="00C76D3F"/>
    <w:rsid w:val="00C77399"/>
    <w:rsid w:val="00C775CE"/>
    <w:rsid w:val="00C8096C"/>
    <w:rsid w:val="00C824C3"/>
    <w:rsid w:val="00C85109"/>
    <w:rsid w:val="00C856C0"/>
    <w:rsid w:val="00C86EA9"/>
    <w:rsid w:val="00C87D8A"/>
    <w:rsid w:val="00C92C88"/>
    <w:rsid w:val="00C947A8"/>
    <w:rsid w:val="00C948F5"/>
    <w:rsid w:val="00C97AB6"/>
    <w:rsid w:val="00CA0E7C"/>
    <w:rsid w:val="00CA1B93"/>
    <w:rsid w:val="00CA25B9"/>
    <w:rsid w:val="00CA2AC1"/>
    <w:rsid w:val="00CA353D"/>
    <w:rsid w:val="00CA35E0"/>
    <w:rsid w:val="00CA4AFC"/>
    <w:rsid w:val="00CA52A4"/>
    <w:rsid w:val="00CA62C9"/>
    <w:rsid w:val="00CB117D"/>
    <w:rsid w:val="00CB1CC0"/>
    <w:rsid w:val="00CB20FA"/>
    <w:rsid w:val="00CB23A2"/>
    <w:rsid w:val="00CB336F"/>
    <w:rsid w:val="00CB5528"/>
    <w:rsid w:val="00CB6C0B"/>
    <w:rsid w:val="00CC25CD"/>
    <w:rsid w:val="00CC311F"/>
    <w:rsid w:val="00CC4D8E"/>
    <w:rsid w:val="00CC640A"/>
    <w:rsid w:val="00CC6511"/>
    <w:rsid w:val="00CC7661"/>
    <w:rsid w:val="00CC7ECE"/>
    <w:rsid w:val="00CC7EED"/>
    <w:rsid w:val="00CD0183"/>
    <w:rsid w:val="00CD02CF"/>
    <w:rsid w:val="00CD0575"/>
    <w:rsid w:val="00CD3E79"/>
    <w:rsid w:val="00CD455A"/>
    <w:rsid w:val="00CD5E1C"/>
    <w:rsid w:val="00CD6930"/>
    <w:rsid w:val="00CD693C"/>
    <w:rsid w:val="00CD734E"/>
    <w:rsid w:val="00CD7946"/>
    <w:rsid w:val="00CE05D5"/>
    <w:rsid w:val="00CE0E85"/>
    <w:rsid w:val="00CE126F"/>
    <w:rsid w:val="00CE427B"/>
    <w:rsid w:val="00CE4370"/>
    <w:rsid w:val="00CE444B"/>
    <w:rsid w:val="00CE45A0"/>
    <w:rsid w:val="00CE47AF"/>
    <w:rsid w:val="00CE67A5"/>
    <w:rsid w:val="00CE6B5D"/>
    <w:rsid w:val="00CE725B"/>
    <w:rsid w:val="00CE7979"/>
    <w:rsid w:val="00CE7F9C"/>
    <w:rsid w:val="00CF065F"/>
    <w:rsid w:val="00CF28EA"/>
    <w:rsid w:val="00CF3036"/>
    <w:rsid w:val="00CF516B"/>
    <w:rsid w:val="00CF57C9"/>
    <w:rsid w:val="00CF7E06"/>
    <w:rsid w:val="00D000C4"/>
    <w:rsid w:val="00D01669"/>
    <w:rsid w:val="00D02534"/>
    <w:rsid w:val="00D04CC5"/>
    <w:rsid w:val="00D054B2"/>
    <w:rsid w:val="00D0645A"/>
    <w:rsid w:val="00D12126"/>
    <w:rsid w:val="00D124A1"/>
    <w:rsid w:val="00D125F7"/>
    <w:rsid w:val="00D1260F"/>
    <w:rsid w:val="00D12FDA"/>
    <w:rsid w:val="00D15053"/>
    <w:rsid w:val="00D151B9"/>
    <w:rsid w:val="00D168A2"/>
    <w:rsid w:val="00D175EF"/>
    <w:rsid w:val="00D17BF3"/>
    <w:rsid w:val="00D17E30"/>
    <w:rsid w:val="00D21017"/>
    <w:rsid w:val="00D22014"/>
    <w:rsid w:val="00D22EA9"/>
    <w:rsid w:val="00D24A34"/>
    <w:rsid w:val="00D25409"/>
    <w:rsid w:val="00D26354"/>
    <w:rsid w:val="00D30762"/>
    <w:rsid w:val="00D3154F"/>
    <w:rsid w:val="00D3160B"/>
    <w:rsid w:val="00D317B7"/>
    <w:rsid w:val="00D32F04"/>
    <w:rsid w:val="00D334CE"/>
    <w:rsid w:val="00D33B3F"/>
    <w:rsid w:val="00D34106"/>
    <w:rsid w:val="00D35745"/>
    <w:rsid w:val="00D363B7"/>
    <w:rsid w:val="00D36F35"/>
    <w:rsid w:val="00D36F7D"/>
    <w:rsid w:val="00D41292"/>
    <w:rsid w:val="00D42EFD"/>
    <w:rsid w:val="00D42FE9"/>
    <w:rsid w:val="00D46ABA"/>
    <w:rsid w:val="00D46D30"/>
    <w:rsid w:val="00D47D14"/>
    <w:rsid w:val="00D51466"/>
    <w:rsid w:val="00D515F4"/>
    <w:rsid w:val="00D5178E"/>
    <w:rsid w:val="00D524F4"/>
    <w:rsid w:val="00D54616"/>
    <w:rsid w:val="00D55078"/>
    <w:rsid w:val="00D5620D"/>
    <w:rsid w:val="00D56A2D"/>
    <w:rsid w:val="00D57751"/>
    <w:rsid w:val="00D57A30"/>
    <w:rsid w:val="00D6051A"/>
    <w:rsid w:val="00D609BC"/>
    <w:rsid w:val="00D60EDC"/>
    <w:rsid w:val="00D614B1"/>
    <w:rsid w:val="00D618C0"/>
    <w:rsid w:val="00D62628"/>
    <w:rsid w:val="00D62B3C"/>
    <w:rsid w:val="00D63533"/>
    <w:rsid w:val="00D63B2A"/>
    <w:rsid w:val="00D63B36"/>
    <w:rsid w:val="00D63EE1"/>
    <w:rsid w:val="00D66128"/>
    <w:rsid w:val="00D66CC3"/>
    <w:rsid w:val="00D70D07"/>
    <w:rsid w:val="00D7197E"/>
    <w:rsid w:val="00D71ADA"/>
    <w:rsid w:val="00D71E23"/>
    <w:rsid w:val="00D722AC"/>
    <w:rsid w:val="00D72849"/>
    <w:rsid w:val="00D73998"/>
    <w:rsid w:val="00D7437E"/>
    <w:rsid w:val="00D74BC9"/>
    <w:rsid w:val="00D75C8F"/>
    <w:rsid w:val="00D7636A"/>
    <w:rsid w:val="00D76B4F"/>
    <w:rsid w:val="00D77F68"/>
    <w:rsid w:val="00D81022"/>
    <w:rsid w:val="00D81C9D"/>
    <w:rsid w:val="00D82093"/>
    <w:rsid w:val="00D82A38"/>
    <w:rsid w:val="00D84517"/>
    <w:rsid w:val="00D867F6"/>
    <w:rsid w:val="00D86B47"/>
    <w:rsid w:val="00D9037A"/>
    <w:rsid w:val="00D904AA"/>
    <w:rsid w:val="00D90DCC"/>
    <w:rsid w:val="00D90EB3"/>
    <w:rsid w:val="00D915AB"/>
    <w:rsid w:val="00D91E35"/>
    <w:rsid w:val="00D9265F"/>
    <w:rsid w:val="00D93B8B"/>
    <w:rsid w:val="00D93F9D"/>
    <w:rsid w:val="00D95FB6"/>
    <w:rsid w:val="00D968DD"/>
    <w:rsid w:val="00D96F6D"/>
    <w:rsid w:val="00D97839"/>
    <w:rsid w:val="00D97857"/>
    <w:rsid w:val="00D97AA1"/>
    <w:rsid w:val="00DA0E94"/>
    <w:rsid w:val="00DA0FFD"/>
    <w:rsid w:val="00DA1BF0"/>
    <w:rsid w:val="00DA3CDA"/>
    <w:rsid w:val="00DA4770"/>
    <w:rsid w:val="00DA6A79"/>
    <w:rsid w:val="00DA7DDF"/>
    <w:rsid w:val="00DB03B4"/>
    <w:rsid w:val="00DB120C"/>
    <w:rsid w:val="00DB3C5B"/>
    <w:rsid w:val="00DB5875"/>
    <w:rsid w:val="00DB65DB"/>
    <w:rsid w:val="00DB6BE1"/>
    <w:rsid w:val="00DB7A58"/>
    <w:rsid w:val="00DC055C"/>
    <w:rsid w:val="00DC14DF"/>
    <w:rsid w:val="00DC2C20"/>
    <w:rsid w:val="00DC332B"/>
    <w:rsid w:val="00DC34CB"/>
    <w:rsid w:val="00DC3F7D"/>
    <w:rsid w:val="00DC4DA0"/>
    <w:rsid w:val="00DC5313"/>
    <w:rsid w:val="00DC553A"/>
    <w:rsid w:val="00DC5696"/>
    <w:rsid w:val="00DC6C57"/>
    <w:rsid w:val="00DC6F4D"/>
    <w:rsid w:val="00DC6F4F"/>
    <w:rsid w:val="00DC745C"/>
    <w:rsid w:val="00DD0519"/>
    <w:rsid w:val="00DD14E5"/>
    <w:rsid w:val="00DD237A"/>
    <w:rsid w:val="00DD5089"/>
    <w:rsid w:val="00DD73DB"/>
    <w:rsid w:val="00DE0AB3"/>
    <w:rsid w:val="00DE189F"/>
    <w:rsid w:val="00DE249D"/>
    <w:rsid w:val="00DE2D0E"/>
    <w:rsid w:val="00DE3FB2"/>
    <w:rsid w:val="00DE64E2"/>
    <w:rsid w:val="00DE726F"/>
    <w:rsid w:val="00DE766E"/>
    <w:rsid w:val="00DF0BBD"/>
    <w:rsid w:val="00DF147D"/>
    <w:rsid w:val="00DF14C1"/>
    <w:rsid w:val="00DF1F1B"/>
    <w:rsid w:val="00DF242B"/>
    <w:rsid w:val="00DF357E"/>
    <w:rsid w:val="00DF3F11"/>
    <w:rsid w:val="00DF5710"/>
    <w:rsid w:val="00DF6092"/>
    <w:rsid w:val="00DF6E8D"/>
    <w:rsid w:val="00E00C6C"/>
    <w:rsid w:val="00E011DE"/>
    <w:rsid w:val="00E01747"/>
    <w:rsid w:val="00E01F4F"/>
    <w:rsid w:val="00E0221C"/>
    <w:rsid w:val="00E026B4"/>
    <w:rsid w:val="00E05267"/>
    <w:rsid w:val="00E064F6"/>
    <w:rsid w:val="00E06552"/>
    <w:rsid w:val="00E13934"/>
    <w:rsid w:val="00E13A7F"/>
    <w:rsid w:val="00E13BEC"/>
    <w:rsid w:val="00E13DA1"/>
    <w:rsid w:val="00E15FD0"/>
    <w:rsid w:val="00E2097F"/>
    <w:rsid w:val="00E20AF5"/>
    <w:rsid w:val="00E217BB"/>
    <w:rsid w:val="00E219A5"/>
    <w:rsid w:val="00E2213E"/>
    <w:rsid w:val="00E2391B"/>
    <w:rsid w:val="00E23B2A"/>
    <w:rsid w:val="00E24D08"/>
    <w:rsid w:val="00E24FA3"/>
    <w:rsid w:val="00E264D5"/>
    <w:rsid w:val="00E274A9"/>
    <w:rsid w:val="00E31D49"/>
    <w:rsid w:val="00E33C1E"/>
    <w:rsid w:val="00E33E3E"/>
    <w:rsid w:val="00E34628"/>
    <w:rsid w:val="00E35136"/>
    <w:rsid w:val="00E352EB"/>
    <w:rsid w:val="00E35816"/>
    <w:rsid w:val="00E35AAA"/>
    <w:rsid w:val="00E36509"/>
    <w:rsid w:val="00E4000D"/>
    <w:rsid w:val="00E41F92"/>
    <w:rsid w:val="00E4224A"/>
    <w:rsid w:val="00E4321F"/>
    <w:rsid w:val="00E43686"/>
    <w:rsid w:val="00E43E11"/>
    <w:rsid w:val="00E45950"/>
    <w:rsid w:val="00E46DD6"/>
    <w:rsid w:val="00E473F5"/>
    <w:rsid w:val="00E512C3"/>
    <w:rsid w:val="00E521BD"/>
    <w:rsid w:val="00E52389"/>
    <w:rsid w:val="00E524B6"/>
    <w:rsid w:val="00E53DB1"/>
    <w:rsid w:val="00E54918"/>
    <w:rsid w:val="00E55CF1"/>
    <w:rsid w:val="00E56585"/>
    <w:rsid w:val="00E57795"/>
    <w:rsid w:val="00E57DD1"/>
    <w:rsid w:val="00E60840"/>
    <w:rsid w:val="00E61FB3"/>
    <w:rsid w:val="00E62B2D"/>
    <w:rsid w:val="00E63333"/>
    <w:rsid w:val="00E6380C"/>
    <w:rsid w:val="00E65510"/>
    <w:rsid w:val="00E65A54"/>
    <w:rsid w:val="00E66654"/>
    <w:rsid w:val="00E666C9"/>
    <w:rsid w:val="00E67D19"/>
    <w:rsid w:val="00E7295E"/>
    <w:rsid w:val="00E73F0B"/>
    <w:rsid w:val="00E74582"/>
    <w:rsid w:val="00E7577F"/>
    <w:rsid w:val="00E758A8"/>
    <w:rsid w:val="00E775CD"/>
    <w:rsid w:val="00E810A5"/>
    <w:rsid w:val="00E82DCD"/>
    <w:rsid w:val="00E82DEE"/>
    <w:rsid w:val="00E850F0"/>
    <w:rsid w:val="00E851F1"/>
    <w:rsid w:val="00E853EE"/>
    <w:rsid w:val="00E8601A"/>
    <w:rsid w:val="00E86A54"/>
    <w:rsid w:val="00E8714A"/>
    <w:rsid w:val="00E87C79"/>
    <w:rsid w:val="00E90D20"/>
    <w:rsid w:val="00E91D01"/>
    <w:rsid w:val="00E91D3B"/>
    <w:rsid w:val="00E9215F"/>
    <w:rsid w:val="00E9395E"/>
    <w:rsid w:val="00E93A2E"/>
    <w:rsid w:val="00E9448D"/>
    <w:rsid w:val="00E958CE"/>
    <w:rsid w:val="00E97048"/>
    <w:rsid w:val="00EA095B"/>
    <w:rsid w:val="00EA1233"/>
    <w:rsid w:val="00EA1F02"/>
    <w:rsid w:val="00EA28DA"/>
    <w:rsid w:val="00EA30E3"/>
    <w:rsid w:val="00EA429F"/>
    <w:rsid w:val="00EA4DEB"/>
    <w:rsid w:val="00EA5DBE"/>
    <w:rsid w:val="00EA709D"/>
    <w:rsid w:val="00EA72AC"/>
    <w:rsid w:val="00EA79D0"/>
    <w:rsid w:val="00EB1888"/>
    <w:rsid w:val="00EB19D4"/>
    <w:rsid w:val="00EB3B8E"/>
    <w:rsid w:val="00EB4070"/>
    <w:rsid w:val="00EC047A"/>
    <w:rsid w:val="00EC1117"/>
    <w:rsid w:val="00EC1585"/>
    <w:rsid w:val="00EC1786"/>
    <w:rsid w:val="00EC1B08"/>
    <w:rsid w:val="00EC28CA"/>
    <w:rsid w:val="00EC3114"/>
    <w:rsid w:val="00EC371E"/>
    <w:rsid w:val="00EC38EC"/>
    <w:rsid w:val="00EC3CC3"/>
    <w:rsid w:val="00EC683A"/>
    <w:rsid w:val="00EC6DD3"/>
    <w:rsid w:val="00ED2AD8"/>
    <w:rsid w:val="00ED4331"/>
    <w:rsid w:val="00ED436E"/>
    <w:rsid w:val="00ED57F0"/>
    <w:rsid w:val="00ED5AE2"/>
    <w:rsid w:val="00ED69FC"/>
    <w:rsid w:val="00ED6C98"/>
    <w:rsid w:val="00ED75E5"/>
    <w:rsid w:val="00ED7979"/>
    <w:rsid w:val="00EE047E"/>
    <w:rsid w:val="00EE09B5"/>
    <w:rsid w:val="00EE0F87"/>
    <w:rsid w:val="00EE1E86"/>
    <w:rsid w:val="00EE231C"/>
    <w:rsid w:val="00EE2782"/>
    <w:rsid w:val="00EE2920"/>
    <w:rsid w:val="00EE3E27"/>
    <w:rsid w:val="00EE3EA0"/>
    <w:rsid w:val="00EE4D83"/>
    <w:rsid w:val="00EE6105"/>
    <w:rsid w:val="00EE61DA"/>
    <w:rsid w:val="00EE6746"/>
    <w:rsid w:val="00EE6FE8"/>
    <w:rsid w:val="00EE7068"/>
    <w:rsid w:val="00EE7F2F"/>
    <w:rsid w:val="00EF09BC"/>
    <w:rsid w:val="00EF1ECE"/>
    <w:rsid w:val="00EF23AF"/>
    <w:rsid w:val="00EF27E2"/>
    <w:rsid w:val="00EF3157"/>
    <w:rsid w:val="00EF37A5"/>
    <w:rsid w:val="00EF3807"/>
    <w:rsid w:val="00EF61A2"/>
    <w:rsid w:val="00EF76F2"/>
    <w:rsid w:val="00F0029C"/>
    <w:rsid w:val="00F01CF2"/>
    <w:rsid w:val="00F046C2"/>
    <w:rsid w:val="00F04C27"/>
    <w:rsid w:val="00F04C88"/>
    <w:rsid w:val="00F10361"/>
    <w:rsid w:val="00F10E14"/>
    <w:rsid w:val="00F11FF2"/>
    <w:rsid w:val="00F148E1"/>
    <w:rsid w:val="00F1575C"/>
    <w:rsid w:val="00F159C6"/>
    <w:rsid w:val="00F16D49"/>
    <w:rsid w:val="00F17560"/>
    <w:rsid w:val="00F23689"/>
    <w:rsid w:val="00F242DE"/>
    <w:rsid w:val="00F26663"/>
    <w:rsid w:val="00F26756"/>
    <w:rsid w:val="00F26EA4"/>
    <w:rsid w:val="00F30215"/>
    <w:rsid w:val="00F308A9"/>
    <w:rsid w:val="00F308B9"/>
    <w:rsid w:val="00F308C2"/>
    <w:rsid w:val="00F30920"/>
    <w:rsid w:val="00F30922"/>
    <w:rsid w:val="00F30E92"/>
    <w:rsid w:val="00F31503"/>
    <w:rsid w:val="00F3307D"/>
    <w:rsid w:val="00F33405"/>
    <w:rsid w:val="00F33432"/>
    <w:rsid w:val="00F3570E"/>
    <w:rsid w:val="00F37066"/>
    <w:rsid w:val="00F37209"/>
    <w:rsid w:val="00F40C89"/>
    <w:rsid w:val="00F41C04"/>
    <w:rsid w:val="00F42EB0"/>
    <w:rsid w:val="00F4389C"/>
    <w:rsid w:val="00F44192"/>
    <w:rsid w:val="00F4508E"/>
    <w:rsid w:val="00F4720F"/>
    <w:rsid w:val="00F504AD"/>
    <w:rsid w:val="00F509CD"/>
    <w:rsid w:val="00F51DCF"/>
    <w:rsid w:val="00F52794"/>
    <w:rsid w:val="00F54E26"/>
    <w:rsid w:val="00F56628"/>
    <w:rsid w:val="00F56D64"/>
    <w:rsid w:val="00F57929"/>
    <w:rsid w:val="00F60259"/>
    <w:rsid w:val="00F60689"/>
    <w:rsid w:val="00F61B09"/>
    <w:rsid w:val="00F61F2A"/>
    <w:rsid w:val="00F6449D"/>
    <w:rsid w:val="00F66EC4"/>
    <w:rsid w:val="00F67817"/>
    <w:rsid w:val="00F70013"/>
    <w:rsid w:val="00F70773"/>
    <w:rsid w:val="00F71C78"/>
    <w:rsid w:val="00F7328A"/>
    <w:rsid w:val="00F74124"/>
    <w:rsid w:val="00F7419D"/>
    <w:rsid w:val="00F74627"/>
    <w:rsid w:val="00F7474D"/>
    <w:rsid w:val="00F74D81"/>
    <w:rsid w:val="00F75824"/>
    <w:rsid w:val="00F76EA8"/>
    <w:rsid w:val="00F778CF"/>
    <w:rsid w:val="00F77C20"/>
    <w:rsid w:val="00F8051C"/>
    <w:rsid w:val="00F81E46"/>
    <w:rsid w:val="00F826B8"/>
    <w:rsid w:val="00F85BEE"/>
    <w:rsid w:val="00F85C61"/>
    <w:rsid w:val="00F861FB"/>
    <w:rsid w:val="00F87741"/>
    <w:rsid w:val="00F87F44"/>
    <w:rsid w:val="00F90B8A"/>
    <w:rsid w:val="00F90BA0"/>
    <w:rsid w:val="00F90CE7"/>
    <w:rsid w:val="00F90F66"/>
    <w:rsid w:val="00F91557"/>
    <w:rsid w:val="00F9316D"/>
    <w:rsid w:val="00F938CB"/>
    <w:rsid w:val="00F95489"/>
    <w:rsid w:val="00F9558F"/>
    <w:rsid w:val="00F959D0"/>
    <w:rsid w:val="00F968E6"/>
    <w:rsid w:val="00F96E5E"/>
    <w:rsid w:val="00F97385"/>
    <w:rsid w:val="00F973F6"/>
    <w:rsid w:val="00F979A2"/>
    <w:rsid w:val="00FA01AA"/>
    <w:rsid w:val="00FA0252"/>
    <w:rsid w:val="00FA0393"/>
    <w:rsid w:val="00FA07AA"/>
    <w:rsid w:val="00FA0896"/>
    <w:rsid w:val="00FA1AFB"/>
    <w:rsid w:val="00FA2399"/>
    <w:rsid w:val="00FA4B85"/>
    <w:rsid w:val="00FA6F78"/>
    <w:rsid w:val="00FA7494"/>
    <w:rsid w:val="00FA79A1"/>
    <w:rsid w:val="00FB1119"/>
    <w:rsid w:val="00FB38E6"/>
    <w:rsid w:val="00FB48BE"/>
    <w:rsid w:val="00FB58B4"/>
    <w:rsid w:val="00FB5FD1"/>
    <w:rsid w:val="00FB6691"/>
    <w:rsid w:val="00FB70A0"/>
    <w:rsid w:val="00FB793F"/>
    <w:rsid w:val="00FB7D05"/>
    <w:rsid w:val="00FC0BE7"/>
    <w:rsid w:val="00FC14AD"/>
    <w:rsid w:val="00FC1D00"/>
    <w:rsid w:val="00FC2C7D"/>
    <w:rsid w:val="00FC3047"/>
    <w:rsid w:val="00FC3218"/>
    <w:rsid w:val="00FC38D6"/>
    <w:rsid w:val="00FC4C62"/>
    <w:rsid w:val="00FC57C4"/>
    <w:rsid w:val="00FC5EA9"/>
    <w:rsid w:val="00FC7264"/>
    <w:rsid w:val="00FC7F8D"/>
    <w:rsid w:val="00FD1648"/>
    <w:rsid w:val="00FD18DD"/>
    <w:rsid w:val="00FD2CEF"/>
    <w:rsid w:val="00FD3859"/>
    <w:rsid w:val="00FD3941"/>
    <w:rsid w:val="00FD4350"/>
    <w:rsid w:val="00FD45B5"/>
    <w:rsid w:val="00FD4F58"/>
    <w:rsid w:val="00FD53DA"/>
    <w:rsid w:val="00FD5CBA"/>
    <w:rsid w:val="00FD715F"/>
    <w:rsid w:val="00FE10BC"/>
    <w:rsid w:val="00FE132B"/>
    <w:rsid w:val="00FE1A86"/>
    <w:rsid w:val="00FE25FD"/>
    <w:rsid w:val="00FE377E"/>
    <w:rsid w:val="00FE39B7"/>
    <w:rsid w:val="00FE408B"/>
    <w:rsid w:val="00FE5736"/>
    <w:rsid w:val="00FE5895"/>
    <w:rsid w:val="00FE663C"/>
    <w:rsid w:val="00FE6708"/>
    <w:rsid w:val="00FE6D3F"/>
    <w:rsid w:val="00FE76BF"/>
    <w:rsid w:val="00FE791C"/>
    <w:rsid w:val="00FF09C2"/>
    <w:rsid w:val="00FF2698"/>
    <w:rsid w:val="00FF2EEF"/>
    <w:rsid w:val="00FF3A6A"/>
    <w:rsid w:val="00FF4192"/>
    <w:rsid w:val="00FF58D8"/>
    <w:rsid w:val="00FF63EB"/>
    <w:rsid w:val="00FF6562"/>
    <w:rsid w:val="00FF7282"/>
    <w:rsid w:val="00FF7BA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B7D4F4E"/>
  <w15:docId w15:val="{0B85BA76-D5AC-4CA5-AA06-49204F354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lsdException w:name="heading 6" w:semiHidden="1" w:unhideWhenUsed="1"/>
    <w:lsdException w:name="heading 7" w:semiHidden="1" w:unhideWhenUsed="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8088E"/>
    <w:pPr>
      <w:spacing w:before="120"/>
    </w:pPr>
    <w:rPr>
      <w:rFonts w:ascii="Calibri" w:hAnsi="Calibri"/>
      <w:sz w:val="21"/>
      <w:lang w:val="en-US" w:eastAsia="en-US"/>
    </w:rPr>
  </w:style>
  <w:style w:type="paragraph" w:styleId="Heading1">
    <w:name w:val="heading 1"/>
    <w:basedOn w:val="Normal"/>
    <w:next w:val="Normal"/>
    <w:link w:val="Heading1Char"/>
    <w:qFormat/>
    <w:rsid w:val="009331C4"/>
    <w:pPr>
      <w:keepNext/>
      <w:spacing w:before="240"/>
      <w:outlineLvl w:val="0"/>
    </w:pPr>
    <w:rPr>
      <w:rFonts w:ascii="Arial" w:hAnsi="Arial" w:cs="Arial"/>
      <w:b/>
      <w:caps/>
      <w:color w:val="DA291C"/>
      <w:kern w:val="28"/>
      <w:sz w:val="28"/>
      <w:szCs w:val="28"/>
    </w:rPr>
  </w:style>
  <w:style w:type="paragraph" w:styleId="Heading2">
    <w:name w:val="heading 2"/>
    <w:basedOn w:val="Normal"/>
    <w:next w:val="Normal"/>
    <w:link w:val="Heading2Char"/>
    <w:qFormat/>
    <w:rsid w:val="00311845"/>
    <w:pPr>
      <w:keepNext/>
      <w:spacing w:before="240"/>
      <w:outlineLvl w:val="1"/>
    </w:pPr>
    <w:rPr>
      <w:rFonts w:ascii="Arial" w:hAnsi="Arial" w:cs="Arial"/>
      <w:b/>
      <w:i/>
      <w:sz w:val="23"/>
      <w:szCs w:val="23"/>
    </w:rPr>
  </w:style>
  <w:style w:type="paragraph" w:styleId="Heading3">
    <w:name w:val="heading 3"/>
    <w:basedOn w:val="Heading5"/>
    <w:next w:val="Normal"/>
    <w:link w:val="Heading3Char"/>
    <w:qFormat/>
    <w:rsid w:val="00311845"/>
    <w:pPr>
      <w:spacing w:before="240"/>
      <w:outlineLvl w:val="2"/>
    </w:pPr>
    <w:rPr>
      <w:rFonts w:ascii="Arial" w:hAnsi="Arial" w:cs="Arial"/>
      <w:b/>
      <w:i w:val="0"/>
      <w:szCs w:val="21"/>
      <w:u w:val="single"/>
    </w:rPr>
  </w:style>
  <w:style w:type="paragraph" w:styleId="Heading4">
    <w:name w:val="heading 4"/>
    <w:basedOn w:val="Normal"/>
    <w:next w:val="Normal"/>
    <w:link w:val="Heading4Char"/>
    <w:qFormat/>
    <w:rsid w:val="00311845"/>
    <w:pPr>
      <w:keepNext/>
      <w:spacing w:before="240"/>
      <w:outlineLvl w:val="3"/>
    </w:pPr>
    <w:rPr>
      <w:rFonts w:ascii="Arial" w:hAnsi="Arial" w:cs="Arial"/>
      <w:sz w:val="20"/>
      <w:u w:val="single"/>
    </w:rPr>
  </w:style>
  <w:style w:type="paragraph" w:styleId="Heading5">
    <w:name w:val="heading 5"/>
    <w:basedOn w:val="Normal"/>
    <w:next w:val="Normal"/>
    <w:rsid w:val="000A1B5C"/>
    <w:pPr>
      <w:keepNext/>
      <w:spacing w:before="220"/>
      <w:outlineLvl w:val="4"/>
    </w:pPr>
    <w:rPr>
      <w:i/>
    </w:rPr>
  </w:style>
  <w:style w:type="paragraph" w:styleId="Heading6">
    <w:name w:val="heading 6"/>
    <w:basedOn w:val="Normal"/>
    <w:next w:val="Normal"/>
    <w:rsid w:val="0081684C"/>
    <w:pPr>
      <w:keepNext/>
      <w:widowControl w:val="0"/>
      <w:outlineLvl w:val="5"/>
    </w:pPr>
    <w:rPr>
      <w:rFonts w:ascii="Century Gothic" w:eastAsia="SimSun" w:hAnsi="Century Gothic"/>
      <w:b/>
      <w:color w:val="000080"/>
      <w:lang w:val="en-AU" w:eastAsia="zh-CN"/>
    </w:rPr>
  </w:style>
  <w:style w:type="paragraph" w:styleId="Heading7">
    <w:name w:val="heading 7"/>
    <w:basedOn w:val="Normal"/>
    <w:next w:val="Normal"/>
    <w:rsid w:val="0081684C"/>
    <w:pPr>
      <w:keepNext/>
      <w:spacing w:before="40" w:after="40"/>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2">
    <w:name w:val="Bullet 2"/>
    <w:basedOn w:val="Normal"/>
    <w:qFormat/>
    <w:rsid w:val="00321004"/>
    <w:pPr>
      <w:numPr>
        <w:numId w:val="1"/>
      </w:numPr>
      <w:tabs>
        <w:tab w:val="clear" w:pos="360"/>
      </w:tabs>
      <w:spacing w:before="60" w:line="276" w:lineRule="auto"/>
      <w:ind w:left="709" w:hanging="283"/>
    </w:pPr>
  </w:style>
  <w:style w:type="paragraph" w:customStyle="1" w:styleId="Bullet1">
    <w:name w:val="Bullet 1"/>
    <w:basedOn w:val="Bullet2"/>
    <w:link w:val="Bullet1Char"/>
    <w:qFormat/>
    <w:rsid w:val="00321004"/>
    <w:pPr>
      <w:numPr>
        <w:numId w:val="3"/>
      </w:numPr>
      <w:spacing w:before="80"/>
      <w:ind w:left="284" w:hanging="284"/>
    </w:pPr>
    <w:rPr>
      <w:szCs w:val="21"/>
    </w:rPr>
  </w:style>
  <w:style w:type="paragraph" w:styleId="Header">
    <w:name w:val="header"/>
    <w:basedOn w:val="Normal"/>
    <w:link w:val="HeaderChar"/>
    <w:uiPriority w:val="99"/>
    <w:rsid w:val="00311845"/>
    <w:pPr>
      <w:tabs>
        <w:tab w:val="center" w:pos="4320"/>
        <w:tab w:val="right" w:pos="8640"/>
      </w:tabs>
      <w:spacing w:before="60" w:after="600"/>
    </w:pPr>
    <w:rPr>
      <w:rFonts w:ascii="Arial" w:hAnsi="Arial" w:cs="Arial"/>
      <w:b/>
      <w:noProof/>
      <w:sz w:val="28"/>
      <w:lang w:val="en-AU" w:eastAsia="en-AU"/>
    </w:rPr>
  </w:style>
  <w:style w:type="paragraph" w:styleId="Quote">
    <w:name w:val="Quote"/>
    <w:basedOn w:val="Normal"/>
    <w:qFormat/>
    <w:rsid w:val="00E810A5"/>
    <w:pPr>
      <w:tabs>
        <w:tab w:val="right" w:pos="8647"/>
      </w:tabs>
      <w:ind w:left="993" w:right="812"/>
    </w:pPr>
    <w:rPr>
      <w:i/>
    </w:rPr>
  </w:style>
  <w:style w:type="paragraph" w:customStyle="1" w:styleId="Title1">
    <w:name w:val="Title 1"/>
    <w:basedOn w:val="Normal"/>
    <w:rsid w:val="00D71ADA"/>
    <w:pPr>
      <w:jc w:val="center"/>
    </w:pPr>
    <w:rPr>
      <w:rFonts w:ascii="Arial" w:hAnsi="Arial"/>
      <w:b/>
      <w:i/>
      <w:color w:val="FF6A40"/>
      <w:sz w:val="48"/>
    </w:rPr>
  </w:style>
  <w:style w:type="paragraph" w:customStyle="1" w:styleId="Title2">
    <w:name w:val="Title 2"/>
    <w:basedOn w:val="Title1"/>
    <w:rsid w:val="00D71ADA"/>
    <w:rPr>
      <w:color w:val="auto"/>
      <w:sz w:val="36"/>
      <w:szCs w:val="36"/>
    </w:rPr>
  </w:style>
  <w:style w:type="paragraph" w:customStyle="1" w:styleId="Title3">
    <w:name w:val="Title 3"/>
    <w:basedOn w:val="Title2"/>
    <w:rsid w:val="0081684C"/>
    <w:rPr>
      <w:b w:val="0"/>
      <w:i w:val="0"/>
      <w:sz w:val="28"/>
    </w:rPr>
  </w:style>
  <w:style w:type="paragraph" w:styleId="Footer">
    <w:name w:val="footer"/>
    <w:basedOn w:val="FootnoteText"/>
    <w:link w:val="FooterChar"/>
    <w:uiPriority w:val="99"/>
    <w:qFormat/>
    <w:rsid w:val="0028088E"/>
    <w:pPr>
      <w:spacing w:before="20"/>
    </w:pPr>
    <w:rPr>
      <w:sz w:val="18"/>
      <w:szCs w:val="16"/>
      <w:lang w:val="en-AU"/>
    </w:rPr>
  </w:style>
  <w:style w:type="character" w:styleId="PageNumber">
    <w:name w:val="page number"/>
    <w:rsid w:val="000A1B5C"/>
    <w:rPr>
      <w:rFonts w:ascii="Georgia" w:hAnsi="Georgia"/>
      <w:sz w:val="20"/>
    </w:rPr>
  </w:style>
  <w:style w:type="paragraph" w:customStyle="1" w:styleId="Header2">
    <w:name w:val="Header 2"/>
    <w:basedOn w:val="Header"/>
    <w:rsid w:val="00311845"/>
    <w:pPr>
      <w:spacing w:before="0" w:after="0"/>
    </w:pPr>
    <w:rPr>
      <w:i/>
      <w:sz w:val="24"/>
      <w:szCs w:val="24"/>
    </w:rPr>
  </w:style>
  <w:style w:type="character" w:styleId="Hyperlink">
    <w:name w:val="Hyperlink"/>
    <w:uiPriority w:val="99"/>
    <w:rsid w:val="0081684C"/>
    <w:rPr>
      <w:color w:val="0000FF"/>
      <w:u w:val="single"/>
    </w:rPr>
  </w:style>
  <w:style w:type="paragraph" w:customStyle="1" w:styleId="Table">
    <w:name w:val="Table"/>
    <w:basedOn w:val="Normal"/>
    <w:qFormat/>
    <w:rsid w:val="0028088E"/>
    <w:pPr>
      <w:spacing w:before="40" w:after="40"/>
    </w:pPr>
    <w:rPr>
      <w:rFonts w:asciiTheme="minorHAnsi" w:hAnsiTheme="minorHAnsi" w:cs="Arial"/>
      <w:sz w:val="19"/>
      <w:szCs w:val="19"/>
    </w:rPr>
  </w:style>
  <w:style w:type="paragraph" w:styleId="FootnoteText">
    <w:name w:val="footnote text"/>
    <w:basedOn w:val="Normal"/>
    <w:link w:val="FootnoteTextChar"/>
    <w:uiPriority w:val="99"/>
    <w:rsid w:val="0081684C"/>
  </w:style>
  <w:style w:type="paragraph" w:customStyle="1" w:styleId="Number1">
    <w:name w:val="Number 1"/>
    <w:basedOn w:val="Bullet1"/>
    <w:qFormat/>
    <w:rsid w:val="000162C4"/>
    <w:pPr>
      <w:numPr>
        <w:numId w:val="65"/>
      </w:numPr>
      <w:tabs>
        <w:tab w:val="clear" w:pos="360"/>
      </w:tabs>
    </w:pPr>
  </w:style>
  <w:style w:type="paragraph" w:customStyle="1" w:styleId="Number2">
    <w:name w:val="Number 2"/>
    <w:basedOn w:val="Bullet2"/>
    <w:qFormat/>
    <w:rsid w:val="00623AB0"/>
    <w:pPr>
      <w:numPr>
        <w:numId w:val="36"/>
      </w:numPr>
      <w:tabs>
        <w:tab w:val="clear" w:pos="1440"/>
      </w:tabs>
    </w:pPr>
  </w:style>
  <w:style w:type="table" w:styleId="TableGrid">
    <w:name w:val="Table Grid"/>
    <w:basedOn w:val="TableNormal"/>
    <w:uiPriority w:val="39"/>
    <w:rsid w:val="002A0A80"/>
    <w:pPr>
      <w:spacing w:before="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qFormat/>
    <w:rsid w:val="00F90B8A"/>
    <w:pPr>
      <w:tabs>
        <w:tab w:val="right" w:leader="underscore" w:pos="9971"/>
      </w:tabs>
    </w:pPr>
    <w:rPr>
      <w:rFonts w:asciiTheme="minorHAnsi" w:hAnsiTheme="minorHAnsi" w:cstheme="minorHAnsi"/>
      <w:b/>
      <w:bCs/>
      <w:i/>
      <w:iCs/>
      <w:sz w:val="24"/>
      <w:szCs w:val="24"/>
    </w:rPr>
  </w:style>
  <w:style w:type="character" w:styleId="FootnoteReference">
    <w:name w:val="footnote reference"/>
    <w:uiPriority w:val="99"/>
    <w:rsid w:val="0078735B"/>
    <w:rPr>
      <w:vertAlign w:val="superscript"/>
    </w:rPr>
  </w:style>
  <w:style w:type="paragraph" w:styleId="TOCHeading">
    <w:name w:val="TOC Heading"/>
    <w:basedOn w:val="Heading1"/>
    <w:next w:val="Normal"/>
    <w:uiPriority w:val="39"/>
    <w:unhideWhenUsed/>
    <w:qFormat/>
    <w:rsid w:val="00753F69"/>
    <w:pPr>
      <w:keepLines/>
      <w:spacing w:before="480" w:line="276" w:lineRule="auto"/>
      <w:outlineLvl w:val="9"/>
    </w:pPr>
    <w:rPr>
      <w:rFonts w:asciiTheme="majorHAnsi" w:eastAsiaTheme="majorEastAsia" w:hAnsiTheme="majorHAnsi" w:cstheme="majorBidi"/>
      <w:bCs/>
      <w:color w:val="365F91" w:themeColor="accent1" w:themeShade="BF"/>
      <w:kern w:val="0"/>
      <w:lang w:eastAsia="ja-JP"/>
    </w:rPr>
  </w:style>
  <w:style w:type="paragraph" w:styleId="TOC3">
    <w:name w:val="toc 3"/>
    <w:basedOn w:val="Normal"/>
    <w:next w:val="Normal"/>
    <w:autoRedefine/>
    <w:uiPriority w:val="39"/>
    <w:unhideWhenUsed/>
    <w:qFormat/>
    <w:rsid w:val="00E851F1"/>
    <w:pPr>
      <w:spacing w:before="0"/>
      <w:ind w:left="420"/>
    </w:pPr>
    <w:rPr>
      <w:rFonts w:asciiTheme="minorHAnsi" w:hAnsiTheme="minorHAnsi" w:cstheme="minorHAnsi"/>
      <w:sz w:val="20"/>
    </w:rPr>
  </w:style>
  <w:style w:type="paragraph" w:styleId="BalloonText">
    <w:name w:val="Balloon Text"/>
    <w:basedOn w:val="Normal"/>
    <w:link w:val="BalloonTextChar"/>
    <w:rsid w:val="00753F69"/>
    <w:pPr>
      <w:spacing w:before="0"/>
    </w:pPr>
    <w:rPr>
      <w:rFonts w:ascii="Tahoma" w:hAnsi="Tahoma" w:cs="Tahoma"/>
      <w:sz w:val="16"/>
      <w:szCs w:val="16"/>
    </w:rPr>
  </w:style>
  <w:style w:type="character" w:styleId="EndnoteReference">
    <w:name w:val="endnote reference"/>
    <w:rsid w:val="00753F69"/>
  </w:style>
  <w:style w:type="character" w:customStyle="1" w:styleId="BalloonTextChar">
    <w:name w:val="Balloon Text Char"/>
    <w:basedOn w:val="DefaultParagraphFont"/>
    <w:link w:val="BalloonText"/>
    <w:rsid w:val="00753F69"/>
    <w:rPr>
      <w:rFonts w:ascii="Tahoma" w:hAnsi="Tahoma" w:cs="Tahoma"/>
      <w:sz w:val="16"/>
      <w:szCs w:val="16"/>
      <w:lang w:val="en-US" w:eastAsia="en-US"/>
    </w:rPr>
  </w:style>
  <w:style w:type="character" w:customStyle="1" w:styleId="FootnoteTextChar">
    <w:name w:val="Footnote Text Char"/>
    <w:link w:val="FootnoteText"/>
    <w:uiPriority w:val="99"/>
    <w:rsid w:val="002625A0"/>
    <w:rPr>
      <w:rFonts w:ascii="Arial" w:hAnsi="Arial"/>
      <w:lang w:val="en-US" w:eastAsia="en-US"/>
    </w:rPr>
  </w:style>
  <w:style w:type="paragraph" w:customStyle="1" w:styleId="TableBullet1">
    <w:name w:val="Table Bullet 1"/>
    <w:basedOn w:val="Table"/>
    <w:qFormat/>
    <w:rsid w:val="0028088E"/>
    <w:pPr>
      <w:numPr>
        <w:numId w:val="2"/>
      </w:numPr>
      <w:tabs>
        <w:tab w:val="left" w:pos="142"/>
      </w:tabs>
      <w:ind w:left="142" w:hanging="142"/>
    </w:pPr>
  </w:style>
  <w:style w:type="paragraph" w:customStyle="1" w:styleId="TableBullet2">
    <w:name w:val="Table Bullet 2"/>
    <w:basedOn w:val="TableBullet1"/>
    <w:qFormat/>
    <w:rsid w:val="0028088E"/>
    <w:pPr>
      <w:numPr>
        <w:ilvl w:val="1"/>
      </w:numPr>
      <w:tabs>
        <w:tab w:val="clear" w:pos="142"/>
        <w:tab w:val="left" w:pos="426"/>
      </w:tabs>
      <w:spacing w:before="0"/>
      <w:ind w:left="426" w:hanging="142"/>
    </w:pPr>
  </w:style>
  <w:style w:type="character" w:customStyle="1" w:styleId="HeaderChar">
    <w:name w:val="Header Char"/>
    <w:link w:val="Header"/>
    <w:uiPriority w:val="99"/>
    <w:rsid w:val="00311845"/>
    <w:rPr>
      <w:rFonts w:ascii="Arial" w:hAnsi="Arial" w:cs="Arial"/>
      <w:b/>
      <w:noProof/>
      <w:sz w:val="28"/>
    </w:rPr>
  </w:style>
  <w:style w:type="character" w:customStyle="1" w:styleId="FooterChar">
    <w:name w:val="Footer Char"/>
    <w:link w:val="Footer"/>
    <w:uiPriority w:val="99"/>
    <w:rsid w:val="0028088E"/>
    <w:rPr>
      <w:rFonts w:ascii="Calibri" w:hAnsi="Calibri"/>
      <w:sz w:val="18"/>
      <w:szCs w:val="16"/>
      <w:lang w:eastAsia="en-US"/>
    </w:rPr>
  </w:style>
  <w:style w:type="paragraph" w:styleId="TOC2">
    <w:name w:val="toc 2"/>
    <w:basedOn w:val="Normal"/>
    <w:next w:val="Normal"/>
    <w:autoRedefine/>
    <w:uiPriority w:val="39"/>
    <w:qFormat/>
    <w:rsid w:val="00E851F1"/>
    <w:pPr>
      <w:ind w:left="210"/>
    </w:pPr>
    <w:rPr>
      <w:rFonts w:asciiTheme="minorHAnsi" w:hAnsiTheme="minorHAnsi" w:cstheme="minorHAnsi"/>
      <w:b/>
      <w:bCs/>
      <w:sz w:val="22"/>
      <w:szCs w:val="22"/>
    </w:rPr>
  </w:style>
  <w:style w:type="character" w:customStyle="1" w:styleId="Bullet1Char">
    <w:name w:val="Bullet 1 Char"/>
    <w:link w:val="Bullet1"/>
    <w:rsid w:val="00321004"/>
    <w:rPr>
      <w:rFonts w:ascii="Calibri" w:hAnsi="Calibri"/>
      <w:sz w:val="21"/>
      <w:szCs w:val="21"/>
      <w:lang w:val="en-US" w:eastAsia="en-US"/>
    </w:rPr>
  </w:style>
  <w:style w:type="paragraph" w:customStyle="1" w:styleId="Table1">
    <w:name w:val="Table1"/>
    <w:basedOn w:val="Normal"/>
    <w:rsid w:val="006B47B7"/>
    <w:pPr>
      <w:spacing w:before="40" w:after="40"/>
    </w:pPr>
    <w:rPr>
      <w:sz w:val="18"/>
    </w:rPr>
  </w:style>
  <w:style w:type="character" w:customStyle="1" w:styleId="Heading2Char">
    <w:name w:val="Heading 2 Char"/>
    <w:basedOn w:val="DefaultParagraphFont"/>
    <w:link w:val="Heading2"/>
    <w:rsid w:val="00311845"/>
    <w:rPr>
      <w:rFonts w:ascii="Arial" w:hAnsi="Arial" w:cs="Arial"/>
      <w:b/>
      <w:i/>
      <w:sz w:val="23"/>
      <w:szCs w:val="23"/>
      <w:lang w:val="en-US" w:eastAsia="en-US"/>
    </w:rPr>
  </w:style>
  <w:style w:type="character" w:customStyle="1" w:styleId="Heading3Char">
    <w:name w:val="Heading 3 Char"/>
    <w:basedOn w:val="DefaultParagraphFont"/>
    <w:link w:val="Heading3"/>
    <w:uiPriority w:val="9"/>
    <w:rsid w:val="00311845"/>
    <w:rPr>
      <w:rFonts w:ascii="Arial" w:hAnsi="Arial" w:cs="Arial"/>
      <w:b/>
      <w:sz w:val="21"/>
      <w:szCs w:val="21"/>
      <w:u w:val="single"/>
      <w:lang w:val="en-US" w:eastAsia="en-US"/>
    </w:rPr>
  </w:style>
  <w:style w:type="table" w:styleId="LightGrid-Accent3">
    <w:name w:val="Light Grid Accent 3"/>
    <w:basedOn w:val="TableNormal"/>
    <w:uiPriority w:val="62"/>
    <w:rsid w:val="000225AD"/>
    <w:rPr>
      <w:rFonts w:asciiTheme="minorHAnsi" w:eastAsiaTheme="minorHAnsi" w:hAnsiTheme="minorHAnsi" w:cstheme="minorBidi"/>
      <w:sz w:val="22"/>
      <w:szCs w:val="22"/>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character" w:customStyle="1" w:styleId="Heading4Char">
    <w:name w:val="Heading 4 Char"/>
    <w:basedOn w:val="DefaultParagraphFont"/>
    <w:link w:val="Heading4"/>
    <w:rsid w:val="00311845"/>
    <w:rPr>
      <w:rFonts w:ascii="Arial" w:hAnsi="Arial" w:cs="Arial"/>
      <w:u w:val="single"/>
      <w:lang w:val="en-US" w:eastAsia="en-US"/>
    </w:rPr>
  </w:style>
  <w:style w:type="paragraph" w:customStyle="1" w:styleId="Outcomes">
    <w:name w:val="Outcomes"/>
    <w:basedOn w:val="Table"/>
    <w:qFormat/>
    <w:rsid w:val="003C1A14"/>
    <w:rPr>
      <w:rFonts w:cs="Times New Roman"/>
      <w:sz w:val="18"/>
      <w:szCs w:val="18"/>
    </w:rPr>
  </w:style>
  <w:style w:type="paragraph" w:customStyle="1" w:styleId="OutcomesBullets">
    <w:name w:val="Outcomes Bullets"/>
    <w:basedOn w:val="TableBullet1"/>
    <w:qFormat/>
    <w:rsid w:val="00EA429F"/>
    <w:rPr>
      <w:rFonts w:cs="Times New Roman"/>
      <w:sz w:val="18"/>
      <w:szCs w:val="18"/>
    </w:rPr>
  </w:style>
  <w:style w:type="paragraph" w:styleId="ListParagraph">
    <w:name w:val="List Paragraph"/>
    <w:aliases w:val="List Paragraph IS,lp,Bullets Level 1,Bullets,List Paragraph1,List Paragraph11,Capire List Paragraph,Bullet point,L,Recommendation,DDM Gen Text,List Paragraph - bullets,NFP GP Bulleted List,bullet point list,Bullet points,Bullet Point"/>
    <w:basedOn w:val="Normal"/>
    <w:link w:val="ListParagraphChar"/>
    <w:uiPriority w:val="34"/>
    <w:qFormat/>
    <w:rsid w:val="00E35136"/>
    <w:pPr>
      <w:ind w:left="720"/>
      <w:contextualSpacing/>
    </w:pPr>
  </w:style>
  <w:style w:type="paragraph" w:styleId="NormalWeb">
    <w:name w:val="Normal (Web)"/>
    <w:basedOn w:val="Normal"/>
    <w:uiPriority w:val="99"/>
    <w:unhideWhenUsed/>
    <w:rsid w:val="00E35136"/>
    <w:pPr>
      <w:spacing w:before="100" w:beforeAutospacing="1" w:after="100" w:afterAutospacing="1"/>
    </w:pPr>
    <w:rPr>
      <w:rFonts w:ascii="Times New Roman" w:hAnsi="Times New Roman"/>
      <w:sz w:val="24"/>
      <w:szCs w:val="24"/>
      <w:lang w:val="en-AU" w:eastAsia="en-AU"/>
    </w:rPr>
  </w:style>
  <w:style w:type="character" w:styleId="CommentReference">
    <w:name w:val="annotation reference"/>
    <w:basedOn w:val="DefaultParagraphFont"/>
    <w:uiPriority w:val="99"/>
    <w:rsid w:val="00BE3FA2"/>
    <w:rPr>
      <w:sz w:val="16"/>
      <w:szCs w:val="16"/>
    </w:rPr>
  </w:style>
  <w:style w:type="paragraph" w:styleId="CommentText">
    <w:name w:val="annotation text"/>
    <w:basedOn w:val="Normal"/>
    <w:link w:val="CommentTextChar"/>
    <w:uiPriority w:val="99"/>
    <w:rsid w:val="00BE3FA2"/>
  </w:style>
  <w:style w:type="character" w:customStyle="1" w:styleId="CommentTextChar">
    <w:name w:val="Comment Text Char"/>
    <w:basedOn w:val="DefaultParagraphFont"/>
    <w:link w:val="CommentText"/>
    <w:uiPriority w:val="99"/>
    <w:rsid w:val="00BE3FA2"/>
    <w:rPr>
      <w:rFonts w:ascii="Georgia" w:hAnsi="Georgia"/>
      <w:lang w:val="en-US" w:eastAsia="en-US"/>
    </w:rPr>
  </w:style>
  <w:style w:type="paragraph" w:styleId="PlainText">
    <w:name w:val="Plain Text"/>
    <w:basedOn w:val="Normal"/>
    <w:link w:val="PlainTextChar"/>
    <w:uiPriority w:val="99"/>
    <w:unhideWhenUsed/>
    <w:rsid w:val="00C92C88"/>
    <w:pPr>
      <w:spacing w:before="0"/>
    </w:pPr>
    <w:rPr>
      <w:rFonts w:eastAsiaTheme="minorHAnsi" w:cstheme="minorBidi"/>
      <w:sz w:val="22"/>
      <w:szCs w:val="21"/>
      <w:lang w:val="en-AU"/>
    </w:rPr>
  </w:style>
  <w:style w:type="character" w:customStyle="1" w:styleId="PlainTextChar">
    <w:name w:val="Plain Text Char"/>
    <w:basedOn w:val="DefaultParagraphFont"/>
    <w:link w:val="PlainText"/>
    <w:uiPriority w:val="99"/>
    <w:rsid w:val="00C92C88"/>
    <w:rPr>
      <w:rFonts w:ascii="Calibri" w:eastAsiaTheme="minorHAnsi" w:hAnsi="Calibri" w:cstheme="minorBidi"/>
      <w:sz w:val="22"/>
      <w:szCs w:val="21"/>
      <w:lang w:eastAsia="en-US"/>
    </w:rPr>
  </w:style>
  <w:style w:type="character" w:styleId="Emphasis">
    <w:name w:val="Emphasis"/>
    <w:basedOn w:val="DefaultParagraphFont"/>
    <w:uiPriority w:val="20"/>
    <w:qFormat/>
    <w:rsid w:val="00C92C88"/>
    <w:rPr>
      <w:i/>
      <w:iCs/>
    </w:rPr>
  </w:style>
  <w:style w:type="character" w:styleId="Strong">
    <w:name w:val="Strong"/>
    <w:basedOn w:val="DefaultParagraphFont"/>
    <w:uiPriority w:val="22"/>
    <w:qFormat/>
    <w:rsid w:val="00C92C88"/>
    <w:rPr>
      <w:b/>
      <w:bCs/>
    </w:rPr>
  </w:style>
  <w:style w:type="paragraph" w:customStyle="1" w:styleId="TableHeader">
    <w:name w:val="Table Header"/>
    <w:basedOn w:val="Table"/>
    <w:qFormat/>
    <w:rsid w:val="0028088E"/>
    <w:pPr>
      <w:jc w:val="center"/>
    </w:pPr>
    <w:rPr>
      <w:rFonts w:cs="Times New Roman"/>
      <w:b/>
      <w:bCs/>
      <w:color w:val="FFFFFF" w:themeColor="background1"/>
      <w:szCs w:val="20"/>
    </w:rPr>
  </w:style>
  <w:style w:type="character" w:customStyle="1" w:styleId="Heading1Char">
    <w:name w:val="Heading 1 Char"/>
    <w:basedOn w:val="DefaultParagraphFont"/>
    <w:link w:val="Heading1"/>
    <w:rsid w:val="009331C4"/>
    <w:rPr>
      <w:rFonts w:ascii="Arial" w:hAnsi="Arial" w:cs="Arial"/>
      <w:b/>
      <w:caps/>
      <w:color w:val="DA291C"/>
      <w:kern w:val="28"/>
      <w:sz w:val="28"/>
      <w:szCs w:val="28"/>
      <w:lang w:val="en-US" w:eastAsia="en-US"/>
    </w:rPr>
  </w:style>
  <w:style w:type="table" w:styleId="LightList-Accent1">
    <w:name w:val="Light List Accent 1"/>
    <w:basedOn w:val="TableNormal"/>
    <w:uiPriority w:val="61"/>
    <w:rsid w:val="00FC5EA9"/>
    <w:rPr>
      <w:rFonts w:asciiTheme="minorHAnsi" w:eastAsiaTheme="minorEastAsia" w:hAnsiTheme="minorHAnsi" w:cstheme="minorBidi"/>
      <w:sz w:val="24"/>
      <w:szCs w:val="24"/>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Subtitle">
    <w:name w:val="Subtitle"/>
    <w:basedOn w:val="Normal"/>
    <w:next w:val="Normal"/>
    <w:link w:val="SubtitleChar"/>
    <w:uiPriority w:val="11"/>
    <w:qFormat/>
    <w:rsid w:val="00FC5EA9"/>
    <w:pPr>
      <w:numPr>
        <w:ilvl w:val="1"/>
      </w:numPr>
      <w:spacing w:before="0"/>
    </w:pPr>
    <w:rPr>
      <w:rFonts w:asciiTheme="majorHAnsi" w:eastAsiaTheme="majorEastAsia" w:hAnsiTheme="majorHAnsi" w:cstheme="majorBidi"/>
      <w:i/>
      <w:iCs/>
      <w:color w:val="4F81BD" w:themeColor="accent1"/>
      <w:spacing w:val="15"/>
      <w:sz w:val="24"/>
      <w:szCs w:val="24"/>
      <w:lang w:val="en-AU"/>
    </w:rPr>
  </w:style>
  <w:style w:type="character" w:customStyle="1" w:styleId="SubtitleChar">
    <w:name w:val="Subtitle Char"/>
    <w:basedOn w:val="DefaultParagraphFont"/>
    <w:link w:val="Subtitle"/>
    <w:uiPriority w:val="11"/>
    <w:rsid w:val="00FC5EA9"/>
    <w:rPr>
      <w:rFonts w:asciiTheme="majorHAnsi" w:eastAsiaTheme="majorEastAsia" w:hAnsiTheme="majorHAnsi" w:cstheme="majorBidi"/>
      <w:i/>
      <w:iCs/>
      <w:color w:val="4F81BD" w:themeColor="accent1"/>
      <w:spacing w:val="15"/>
      <w:sz w:val="24"/>
      <w:szCs w:val="24"/>
      <w:lang w:eastAsia="en-US"/>
    </w:rPr>
  </w:style>
  <w:style w:type="table" w:styleId="LightList-Accent2">
    <w:name w:val="Light List Accent 2"/>
    <w:basedOn w:val="TableNormal"/>
    <w:uiPriority w:val="61"/>
    <w:rsid w:val="00D12126"/>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customStyle="1" w:styleId="Author">
    <w:name w:val="Author"/>
    <w:basedOn w:val="Normal"/>
    <w:uiPriority w:val="3"/>
    <w:qFormat/>
    <w:rsid w:val="008E7251"/>
    <w:pPr>
      <w:spacing w:before="0" w:line="312" w:lineRule="auto"/>
    </w:pPr>
    <w:rPr>
      <w:rFonts w:asciiTheme="minorHAnsi" w:eastAsiaTheme="minorHAnsi" w:hAnsiTheme="minorHAnsi" w:cstheme="minorBidi"/>
      <w:b/>
      <w:color w:val="1F497D" w:themeColor="text2"/>
      <w:sz w:val="30"/>
      <w:szCs w:val="24"/>
      <w:lang w:eastAsia="ja-JP"/>
    </w:rPr>
  </w:style>
  <w:style w:type="character" w:customStyle="1" w:styleId="ListParagraphChar">
    <w:name w:val="List Paragraph Char"/>
    <w:aliases w:val="List Paragraph IS Char,lp Char,Bullets Level 1 Char,Bullets Char,List Paragraph1 Char,List Paragraph11 Char,Capire List Paragraph Char,Bullet point Char,L Char,Recommendation Char,DDM Gen Text Char,List Paragraph - bullets Char"/>
    <w:basedOn w:val="DefaultParagraphFont"/>
    <w:link w:val="ListParagraph"/>
    <w:uiPriority w:val="34"/>
    <w:rsid w:val="00911B71"/>
    <w:rPr>
      <w:rFonts w:ascii="Calibri" w:hAnsi="Calibri"/>
      <w:sz w:val="21"/>
      <w:lang w:val="en-US" w:eastAsia="en-US"/>
    </w:rPr>
  </w:style>
  <w:style w:type="table" w:styleId="ListTable4-Accent1">
    <w:name w:val="List Table 4 Accent 1"/>
    <w:basedOn w:val="TableNormal"/>
    <w:uiPriority w:val="49"/>
    <w:rsid w:val="00AB2BFA"/>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
    <w:name w:val="List Table 4"/>
    <w:basedOn w:val="TableNormal"/>
    <w:uiPriority w:val="49"/>
    <w:rsid w:val="00AB2BFA"/>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BodyTextSP">
    <w:name w:val="Body Text (SP)"/>
    <w:link w:val="BodyTextSPChar"/>
    <w:qFormat/>
    <w:rsid w:val="001F2EE4"/>
    <w:pPr>
      <w:spacing w:before="80" w:after="60"/>
    </w:pPr>
    <w:rPr>
      <w:rFonts w:ascii="Open Sans" w:eastAsiaTheme="minorEastAsia" w:hAnsi="Open Sans" w:cstheme="minorBidi"/>
      <w:color w:val="000000" w:themeColor="text1"/>
      <w:lang w:val="en-US" w:eastAsia="en-US"/>
    </w:rPr>
  </w:style>
  <w:style w:type="character" w:customStyle="1" w:styleId="BodyTextSPChar">
    <w:name w:val="Body Text (SP) Char"/>
    <w:basedOn w:val="DefaultParagraphFont"/>
    <w:link w:val="BodyTextSP"/>
    <w:rsid w:val="001F2EE4"/>
    <w:rPr>
      <w:rFonts w:ascii="Open Sans" w:eastAsiaTheme="minorEastAsia" w:hAnsi="Open Sans" w:cstheme="minorBidi"/>
      <w:color w:val="000000" w:themeColor="text1"/>
      <w:lang w:val="en-US" w:eastAsia="en-US"/>
    </w:rPr>
  </w:style>
  <w:style w:type="paragraph" w:customStyle="1" w:styleId="CCS-TableHeading2">
    <w:name w:val="CCS-Table Heading 2"/>
    <w:basedOn w:val="Normal"/>
    <w:link w:val="CCS-TableHeading2Char"/>
    <w:qFormat/>
    <w:rsid w:val="001F2EE4"/>
    <w:pPr>
      <w:spacing w:before="60" w:after="60"/>
      <w:jc w:val="center"/>
    </w:pPr>
    <w:rPr>
      <w:rFonts w:ascii="Open Sans" w:eastAsiaTheme="minorEastAsia" w:hAnsi="Open Sans" w:cs="Open Sans"/>
      <w:b/>
      <w:szCs w:val="21"/>
    </w:rPr>
  </w:style>
  <w:style w:type="character" w:customStyle="1" w:styleId="CCS-TableHeading2Char">
    <w:name w:val="CCS-Table Heading 2 Char"/>
    <w:basedOn w:val="DefaultParagraphFont"/>
    <w:link w:val="CCS-TableHeading2"/>
    <w:rsid w:val="001F2EE4"/>
    <w:rPr>
      <w:rFonts w:ascii="Open Sans" w:eastAsiaTheme="minorEastAsia" w:hAnsi="Open Sans" w:cs="Open Sans"/>
      <w:b/>
      <w:sz w:val="21"/>
      <w:szCs w:val="21"/>
      <w:lang w:val="en-US" w:eastAsia="en-US"/>
    </w:rPr>
  </w:style>
  <w:style w:type="table" w:customStyle="1" w:styleId="TableGrid1">
    <w:name w:val="Table Grid1"/>
    <w:basedOn w:val="TableNormal"/>
    <w:next w:val="TableGrid"/>
    <w:uiPriority w:val="39"/>
    <w:rsid w:val="001F2EE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CSNormalText">
    <w:name w:val="CCS Normal Text"/>
    <w:basedOn w:val="Normal"/>
    <w:link w:val="CCSNormalTextChar"/>
    <w:qFormat/>
    <w:rsid w:val="00C76D3F"/>
    <w:pPr>
      <w:spacing w:before="60" w:after="120"/>
    </w:pPr>
    <w:rPr>
      <w:rFonts w:ascii="Arial" w:eastAsiaTheme="minorHAnsi" w:hAnsi="Arial" w:cs="Arial"/>
      <w:sz w:val="22"/>
      <w:szCs w:val="22"/>
      <w:lang w:val="en-AU" w:eastAsia="zh-CN" w:bidi="th-TH"/>
    </w:rPr>
  </w:style>
  <w:style w:type="paragraph" w:customStyle="1" w:styleId="CCS-TableText">
    <w:name w:val="CCS-Table Text"/>
    <w:basedOn w:val="Normal"/>
    <w:qFormat/>
    <w:rsid w:val="00C76D3F"/>
    <w:pPr>
      <w:spacing w:before="60" w:after="60"/>
    </w:pPr>
    <w:rPr>
      <w:rFonts w:ascii="Arial" w:eastAsiaTheme="minorHAnsi" w:hAnsi="Arial" w:cs="Arial"/>
      <w:sz w:val="22"/>
      <w:szCs w:val="22"/>
      <w:lang w:val="en-AU"/>
    </w:rPr>
  </w:style>
  <w:style w:type="character" w:customStyle="1" w:styleId="CCSNormalTextChar">
    <w:name w:val="CCS Normal Text Char"/>
    <w:basedOn w:val="DefaultParagraphFont"/>
    <w:link w:val="CCSNormalText"/>
    <w:locked/>
    <w:rsid w:val="00C76D3F"/>
    <w:rPr>
      <w:rFonts w:ascii="Arial" w:eastAsiaTheme="minorHAnsi" w:hAnsi="Arial" w:cs="Arial"/>
      <w:sz w:val="22"/>
      <w:szCs w:val="22"/>
      <w:lang w:eastAsia="zh-CN" w:bidi="th-TH"/>
    </w:rPr>
  </w:style>
  <w:style w:type="paragraph" w:customStyle="1" w:styleId="PFNumLevel2">
    <w:name w:val="PF (Num) Level 2"/>
    <w:basedOn w:val="Normal"/>
    <w:rsid w:val="00C76D3F"/>
    <w:pPr>
      <w:numPr>
        <w:ilvl w:val="1"/>
        <w:numId w:val="4"/>
      </w:numPr>
      <w:tabs>
        <w:tab w:val="clear" w:pos="1917"/>
        <w:tab w:val="num" w:pos="924"/>
        <w:tab w:val="left" w:pos="2773"/>
        <w:tab w:val="left" w:pos="3697"/>
        <w:tab w:val="left" w:pos="4621"/>
        <w:tab w:val="left" w:pos="5545"/>
        <w:tab w:val="left" w:pos="6469"/>
        <w:tab w:val="left" w:pos="7394"/>
        <w:tab w:val="left" w:pos="8318"/>
        <w:tab w:val="right" w:pos="8930"/>
      </w:tabs>
      <w:spacing w:after="120" w:line="276" w:lineRule="auto"/>
      <w:ind w:left="924"/>
    </w:pPr>
    <w:rPr>
      <w:rFonts w:ascii="Times New Roman" w:hAnsi="Times New Roman"/>
      <w:color w:val="000000"/>
      <w:sz w:val="22"/>
      <w:lang w:val="en-AU"/>
    </w:rPr>
  </w:style>
  <w:style w:type="paragraph" w:customStyle="1" w:styleId="PFNumLevel3">
    <w:name w:val="PF (Num) Level 3"/>
    <w:basedOn w:val="Normal"/>
    <w:rsid w:val="00C76D3F"/>
    <w:pPr>
      <w:numPr>
        <w:ilvl w:val="2"/>
        <w:numId w:val="4"/>
      </w:numPr>
      <w:tabs>
        <w:tab w:val="left" w:pos="3697"/>
        <w:tab w:val="left" w:pos="4621"/>
        <w:tab w:val="left" w:pos="5545"/>
        <w:tab w:val="left" w:pos="6469"/>
        <w:tab w:val="left" w:pos="7394"/>
        <w:tab w:val="left" w:pos="8318"/>
        <w:tab w:val="right" w:pos="8930"/>
      </w:tabs>
      <w:spacing w:after="120" w:line="276" w:lineRule="auto"/>
    </w:pPr>
    <w:rPr>
      <w:rFonts w:ascii="Times New Roman" w:hAnsi="Times New Roman"/>
      <w:color w:val="000000"/>
      <w:sz w:val="22"/>
      <w:lang w:val="en-AU"/>
    </w:rPr>
  </w:style>
  <w:style w:type="paragraph" w:customStyle="1" w:styleId="PFNumLevel4">
    <w:name w:val="PF (Num) Level 4"/>
    <w:basedOn w:val="Normal"/>
    <w:rsid w:val="00C76D3F"/>
    <w:pPr>
      <w:numPr>
        <w:ilvl w:val="3"/>
        <w:numId w:val="4"/>
      </w:numPr>
      <w:tabs>
        <w:tab w:val="left" w:pos="4621"/>
        <w:tab w:val="left" w:pos="5545"/>
        <w:tab w:val="left" w:pos="6469"/>
        <w:tab w:val="left" w:pos="7394"/>
        <w:tab w:val="left" w:pos="8318"/>
        <w:tab w:val="right" w:pos="8930"/>
      </w:tabs>
      <w:spacing w:after="120" w:line="276" w:lineRule="auto"/>
    </w:pPr>
    <w:rPr>
      <w:rFonts w:ascii="Times New Roman" w:hAnsi="Times New Roman"/>
      <w:color w:val="000000"/>
      <w:sz w:val="22"/>
      <w:lang w:val="en-AU"/>
    </w:rPr>
  </w:style>
  <w:style w:type="paragraph" w:customStyle="1" w:styleId="PFNumLevel5">
    <w:name w:val="PF (Num) Level 5"/>
    <w:basedOn w:val="Normal"/>
    <w:rsid w:val="00C76D3F"/>
    <w:pPr>
      <w:numPr>
        <w:ilvl w:val="4"/>
        <w:numId w:val="4"/>
      </w:numPr>
      <w:tabs>
        <w:tab w:val="left" w:pos="2773"/>
        <w:tab w:val="left" w:pos="3697"/>
        <w:tab w:val="left" w:pos="4621"/>
        <w:tab w:val="left" w:pos="5545"/>
        <w:tab w:val="left" w:pos="6469"/>
        <w:tab w:val="left" w:pos="7394"/>
        <w:tab w:val="left" w:pos="8318"/>
        <w:tab w:val="right" w:pos="8930"/>
      </w:tabs>
      <w:spacing w:after="120" w:line="276" w:lineRule="auto"/>
    </w:pPr>
    <w:rPr>
      <w:rFonts w:ascii="Times New Roman" w:hAnsi="Times New Roman"/>
      <w:color w:val="000000"/>
      <w:sz w:val="22"/>
      <w:lang w:val="en-AU"/>
    </w:rPr>
  </w:style>
  <w:style w:type="paragraph" w:customStyle="1" w:styleId="Heading1A">
    <w:name w:val="Heading 1A"/>
    <w:basedOn w:val="Heading1"/>
    <w:next w:val="Normal"/>
    <w:rsid w:val="00C76D3F"/>
    <w:pPr>
      <w:numPr>
        <w:numId w:val="4"/>
      </w:numPr>
      <w:tabs>
        <w:tab w:val="clear" w:pos="924"/>
        <w:tab w:val="left" w:pos="1848"/>
        <w:tab w:val="left" w:pos="2773"/>
        <w:tab w:val="left" w:pos="3697"/>
        <w:tab w:val="left" w:pos="4621"/>
        <w:tab w:val="left" w:pos="5545"/>
        <w:tab w:val="left" w:pos="6469"/>
        <w:tab w:val="left" w:pos="7394"/>
        <w:tab w:val="left" w:pos="8318"/>
        <w:tab w:val="right" w:pos="8930"/>
      </w:tabs>
      <w:spacing w:before="400" w:after="120" w:line="276" w:lineRule="auto"/>
    </w:pPr>
    <w:rPr>
      <w:rFonts w:ascii="Times New Roman" w:hAnsi="Times New Roman" w:cs="Times New Roman"/>
      <w:b w:val="0"/>
      <w:color w:val="000000"/>
      <w:sz w:val="22"/>
      <w:szCs w:val="20"/>
      <w:lang w:val="en-AU"/>
    </w:rPr>
  </w:style>
  <w:style w:type="paragraph" w:customStyle="1" w:styleId="PFNumLevel6">
    <w:name w:val="PF (Num) Level 6"/>
    <w:basedOn w:val="PFNumLevel4"/>
    <w:rsid w:val="00C76D3F"/>
    <w:pPr>
      <w:numPr>
        <w:ilvl w:val="5"/>
      </w:numPr>
    </w:pPr>
  </w:style>
  <w:style w:type="paragraph" w:customStyle="1" w:styleId="OurHeadings">
    <w:name w:val="Our Headings"/>
    <w:basedOn w:val="Normal"/>
    <w:link w:val="OurHeadingsChar"/>
    <w:qFormat/>
    <w:rsid w:val="00C76D3F"/>
    <w:pPr>
      <w:pBdr>
        <w:bottom w:val="single" w:sz="6" w:space="1" w:color="auto"/>
      </w:pBdr>
      <w:spacing w:before="240" w:after="120"/>
    </w:pPr>
    <w:rPr>
      <w:rFonts w:ascii="Open Sans" w:eastAsiaTheme="minorHAnsi" w:hAnsi="Open Sans" w:cs="Open Sans"/>
      <w:b/>
      <w:color w:val="C00000"/>
      <w:sz w:val="36"/>
      <w:szCs w:val="36"/>
      <w:lang w:val="en-AU" w:eastAsia="zh-CN" w:bidi="th-TH"/>
    </w:rPr>
  </w:style>
  <w:style w:type="character" w:customStyle="1" w:styleId="OurHeadingsChar">
    <w:name w:val="Our Headings Char"/>
    <w:basedOn w:val="DefaultParagraphFont"/>
    <w:link w:val="OurHeadings"/>
    <w:rsid w:val="00C76D3F"/>
    <w:rPr>
      <w:rFonts w:ascii="Open Sans" w:eastAsiaTheme="minorHAnsi" w:hAnsi="Open Sans" w:cs="Open Sans"/>
      <w:b/>
      <w:color w:val="C00000"/>
      <w:sz w:val="36"/>
      <w:szCs w:val="36"/>
      <w:lang w:eastAsia="zh-CN" w:bidi="th-TH"/>
    </w:rPr>
  </w:style>
  <w:style w:type="paragraph" w:customStyle="1" w:styleId="OGNormalText">
    <w:name w:val="OG Normal Text"/>
    <w:basedOn w:val="Normal"/>
    <w:link w:val="OGNormalTextChar"/>
    <w:qFormat/>
    <w:rsid w:val="00D82093"/>
    <w:pPr>
      <w:keepNext/>
      <w:spacing w:before="80" w:after="60"/>
    </w:pPr>
    <w:rPr>
      <w:rFonts w:ascii="Open Sans" w:eastAsiaTheme="minorEastAsia" w:hAnsi="Open Sans" w:cstheme="minorBidi"/>
      <w:sz w:val="20"/>
    </w:rPr>
  </w:style>
  <w:style w:type="character" w:customStyle="1" w:styleId="OGNormalTextChar">
    <w:name w:val="OG Normal Text Char"/>
    <w:basedOn w:val="DefaultParagraphFont"/>
    <w:link w:val="OGNormalText"/>
    <w:rsid w:val="00D82093"/>
    <w:rPr>
      <w:rFonts w:ascii="Open Sans" w:eastAsiaTheme="minorEastAsia" w:hAnsi="Open Sans" w:cstheme="minorBidi"/>
      <w:lang w:val="en-US" w:eastAsia="en-US"/>
    </w:rPr>
  </w:style>
  <w:style w:type="paragraph" w:customStyle="1" w:styleId="Default">
    <w:name w:val="Default"/>
    <w:rsid w:val="00DA1BF0"/>
    <w:pPr>
      <w:autoSpaceDE w:val="0"/>
      <w:autoSpaceDN w:val="0"/>
      <w:adjustRightInd w:val="0"/>
    </w:pPr>
    <w:rPr>
      <w:rFonts w:ascii="Arial" w:hAnsi="Arial" w:cs="Arial"/>
      <w:color w:val="000000"/>
      <w:sz w:val="24"/>
      <w:szCs w:val="24"/>
      <w:lang w:val="en-US"/>
    </w:rPr>
  </w:style>
  <w:style w:type="paragraph" w:customStyle="1" w:styleId="DHHSbody">
    <w:name w:val="DHHS body"/>
    <w:link w:val="DHHSbodyChar"/>
    <w:qFormat/>
    <w:rsid w:val="008E046C"/>
    <w:pPr>
      <w:spacing w:after="120" w:line="270" w:lineRule="atLeast"/>
    </w:pPr>
    <w:rPr>
      <w:rFonts w:ascii="Arial" w:eastAsia="Times" w:hAnsi="Arial"/>
      <w:lang w:eastAsia="en-US"/>
    </w:rPr>
  </w:style>
  <w:style w:type="character" w:customStyle="1" w:styleId="DHHSbodyChar">
    <w:name w:val="DHHS body Char"/>
    <w:link w:val="DHHSbody"/>
    <w:rsid w:val="008E046C"/>
    <w:rPr>
      <w:rFonts w:ascii="Arial" w:eastAsia="Times" w:hAnsi="Arial"/>
      <w:lang w:eastAsia="en-US"/>
    </w:rPr>
  </w:style>
  <w:style w:type="paragraph" w:customStyle="1" w:styleId="paragraph">
    <w:name w:val="paragraph"/>
    <w:basedOn w:val="Normal"/>
    <w:rsid w:val="00B96282"/>
    <w:pPr>
      <w:spacing w:before="100" w:beforeAutospacing="1" w:after="100" w:afterAutospacing="1"/>
    </w:pPr>
    <w:rPr>
      <w:rFonts w:ascii="Times New Roman" w:hAnsi="Times New Roman"/>
      <w:sz w:val="24"/>
      <w:szCs w:val="24"/>
      <w:lang w:val="en-AU"/>
    </w:rPr>
  </w:style>
  <w:style w:type="character" w:customStyle="1" w:styleId="normaltextrun">
    <w:name w:val="normaltextrun"/>
    <w:basedOn w:val="DefaultParagraphFont"/>
    <w:rsid w:val="00B96282"/>
  </w:style>
  <w:style w:type="character" w:customStyle="1" w:styleId="eop">
    <w:name w:val="eop"/>
    <w:basedOn w:val="DefaultParagraphFont"/>
    <w:rsid w:val="00B96282"/>
  </w:style>
  <w:style w:type="paragraph" w:customStyle="1" w:styleId="AIHWbodytext">
    <w:name w:val="AIHW body text"/>
    <w:uiPriority w:val="99"/>
    <w:rsid w:val="00E53DB1"/>
    <w:pPr>
      <w:spacing w:before="60" w:after="40" w:line="260" w:lineRule="atLeast"/>
    </w:pPr>
    <w:rPr>
      <w:rFonts w:ascii="Book Antiqua" w:hAnsi="Book Antiqua"/>
      <w:color w:val="000000"/>
      <w:sz w:val="22"/>
      <w:lang w:eastAsia="en-US"/>
    </w:rPr>
  </w:style>
  <w:style w:type="paragraph" w:customStyle="1" w:styleId="EndNoteBibliography">
    <w:name w:val="EndNote Bibliography"/>
    <w:basedOn w:val="Normal"/>
    <w:link w:val="EndNoteBibliographyChar"/>
    <w:rsid w:val="00E53DB1"/>
    <w:pPr>
      <w:spacing w:before="0" w:after="160"/>
    </w:pPr>
    <w:rPr>
      <w:rFonts w:eastAsia="Calibri" w:cs="Calibri"/>
      <w:noProof/>
      <w:sz w:val="22"/>
      <w:szCs w:val="22"/>
      <w:lang w:eastAsia="en-AU"/>
    </w:rPr>
  </w:style>
  <w:style w:type="character" w:customStyle="1" w:styleId="EndNoteBibliographyChar">
    <w:name w:val="EndNote Bibliography Char"/>
    <w:basedOn w:val="DefaultParagraphFont"/>
    <w:link w:val="EndNoteBibliography"/>
    <w:rsid w:val="00E53DB1"/>
    <w:rPr>
      <w:rFonts w:ascii="Calibri" w:eastAsia="Calibri" w:hAnsi="Calibri" w:cs="Calibri"/>
      <w:noProof/>
      <w:sz w:val="22"/>
      <w:szCs w:val="22"/>
      <w:lang w:val="en-US"/>
    </w:rPr>
  </w:style>
  <w:style w:type="character" w:styleId="UnresolvedMention">
    <w:name w:val="Unresolved Mention"/>
    <w:basedOn w:val="DefaultParagraphFont"/>
    <w:uiPriority w:val="99"/>
    <w:semiHidden/>
    <w:unhideWhenUsed/>
    <w:rsid w:val="00902F7E"/>
    <w:rPr>
      <w:color w:val="605E5C"/>
      <w:shd w:val="clear" w:color="auto" w:fill="E1DFDD"/>
    </w:rPr>
  </w:style>
  <w:style w:type="character" w:customStyle="1" w:styleId="ListBulletChar">
    <w:name w:val="List Bullet Char"/>
    <w:basedOn w:val="DefaultParagraphFont"/>
    <w:link w:val="ListBullet"/>
    <w:locked/>
    <w:rsid w:val="00777088"/>
    <w:rPr>
      <w:sz w:val="24"/>
    </w:rPr>
  </w:style>
  <w:style w:type="paragraph" w:styleId="ListBullet">
    <w:name w:val="List Bullet"/>
    <w:basedOn w:val="BodyText"/>
    <w:link w:val="ListBulletChar"/>
    <w:unhideWhenUsed/>
    <w:rsid w:val="00777088"/>
    <w:pPr>
      <w:numPr>
        <w:numId w:val="17"/>
      </w:numPr>
      <w:spacing w:after="0" w:line="300" w:lineRule="atLeast"/>
      <w:jc w:val="both"/>
    </w:pPr>
    <w:rPr>
      <w:rFonts w:ascii="Times New Roman" w:hAnsi="Times New Roman"/>
      <w:sz w:val="24"/>
      <w:lang w:val="en-AU" w:eastAsia="en-AU"/>
    </w:rPr>
  </w:style>
  <w:style w:type="paragraph" w:styleId="BodyText">
    <w:name w:val="Body Text"/>
    <w:basedOn w:val="Normal"/>
    <w:link w:val="BodyTextChar"/>
    <w:semiHidden/>
    <w:unhideWhenUsed/>
    <w:rsid w:val="00777088"/>
    <w:pPr>
      <w:spacing w:after="120"/>
    </w:pPr>
  </w:style>
  <w:style w:type="character" w:customStyle="1" w:styleId="BodyTextChar">
    <w:name w:val="Body Text Char"/>
    <w:basedOn w:val="DefaultParagraphFont"/>
    <w:link w:val="BodyText"/>
    <w:rsid w:val="00777088"/>
    <w:rPr>
      <w:rFonts w:ascii="Calibri" w:hAnsi="Calibri"/>
      <w:sz w:val="21"/>
      <w:lang w:val="en-US" w:eastAsia="en-US"/>
    </w:rPr>
  </w:style>
  <w:style w:type="character" w:customStyle="1" w:styleId="contribdegrees">
    <w:name w:val="contribdegrees"/>
    <w:basedOn w:val="DefaultParagraphFont"/>
    <w:rsid w:val="000C7D2D"/>
  </w:style>
  <w:style w:type="paragraph" w:customStyle="1" w:styleId="References">
    <w:name w:val="References"/>
    <w:rsid w:val="00341F0F"/>
    <w:pPr>
      <w:spacing w:before="80"/>
      <w:ind w:left="284" w:right="-369" w:hanging="284"/>
    </w:pPr>
    <w:rPr>
      <w:rFonts w:ascii="Trebuchet MS" w:hAnsi="Trebuchet MS"/>
      <w:sz w:val="18"/>
      <w:szCs w:val="24"/>
      <w:lang w:eastAsia="en-US"/>
    </w:rPr>
  </w:style>
  <w:style w:type="character" w:customStyle="1" w:styleId="cit">
    <w:name w:val="cit"/>
    <w:basedOn w:val="DefaultParagraphFont"/>
    <w:rsid w:val="005E235B"/>
  </w:style>
  <w:style w:type="character" w:customStyle="1" w:styleId="authors">
    <w:name w:val="authors"/>
    <w:basedOn w:val="DefaultParagraphFont"/>
    <w:rsid w:val="00723517"/>
  </w:style>
  <w:style w:type="character" w:customStyle="1" w:styleId="Date1">
    <w:name w:val="Date1"/>
    <w:basedOn w:val="DefaultParagraphFont"/>
    <w:rsid w:val="00723517"/>
  </w:style>
  <w:style w:type="character" w:customStyle="1" w:styleId="arttitle">
    <w:name w:val="art_title"/>
    <w:basedOn w:val="DefaultParagraphFont"/>
    <w:rsid w:val="00723517"/>
  </w:style>
  <w:style w:type="character" w:customStyle="1" w:styleId="serialtitle">
    <w:name w:val="serial_title"/>
    <w:basedOn w:val="DefaultParagraphFont"/>
    <w:rsid w:val="00723517"/>
  </w:style>
  <w:style w:type="character" w:customStyle="1" w:styleId="volumeissue">
    <w:name w:val="volume_issue"/>
    <w:basedOn w:val="DefaultParagraphFont"/>
    <w:rsid w:val="00723517"/>
  </w:style>
  <w:style w:type="character" w:customStyle="1" w:styleId="pagerange">
    <w:name w:val="page_range"/>
    <w:basedOn w:val="DefaultParagraphFont"/>
    <w:rsid w:val="00723517"/>
  </w:style>
  <w:style w:type="character" w:customStyle="1" w:styleId="doilink">
    <w:name w:val="doi_link"/>
    <w:basedOn w:val="DefaultParagraphFont"/>
    <w:rsid w:val="00723517"/>
  </w:style>
  <w:style w:type="paragraph" w:styleId="TOC4">
    <w:name w:val="toc 4"/>
    <w:basedOn w:val="Normal"/>
    <w:next w:val="Normal"/>
    <w:uiPriority w:val="39"/>
    <w:rsid w:val="00F90F66"/>
    <w:pPr>
      <w:spacing w:before="0"/>
      <w:ind w:left="630"/>
    </w:pPr>
    <w:rPr>
      <w:rFonts w:asciiTheme="minorHAnsi" w:hAnsiTheme="minorHAnsi" w:cstheme="minorHAnsi"/>
      <w:sz w:val="20"/>
    </w:rPr>
  </w:style>
  <w:style w:type="paragraph" w:styleId="TOC6">
    <w:name w:val="toc 6"/>
    <w:basedOn w:val="Normal"/>
    <w:next w:val="Normal"/>
    <w:uiPriority w:val="39"/>
    <w:rsid w:val="00F90F66"/>
    <w:pPr>
      <w:spacing w:before="0"/>
      <w:ind w:left="1050"/>
    </w:pPr>
    <w:rPr>
      <w:rFonts w:asciiTheme="minorHAnsi" w:hAnsiTheme="minorHAnsi" w:cstheme="minorHAnsi"/>
      <w:sz w:val="20"/>
    </w:rPr>
  </w:style>
  <w:style w:type="paragraph" w:styleId="TOC7">
    <w:name w:val="toc 7"/>
    <w:basedOn w:val="Normal"/>
    <w:next w:val="Normal"/>
    <w:uiPriority w:val="39"/>
    <w:rsid w:val="00F90F66"/>
    <w:pPr>
      <w:spacing w:before="0"/>
      <w:ind w:left="1260"/>
    </w:pPr>
    <w:rPr>
      <w:rFonts w:asciiTheme="minorHAnsi" w:hAnsiTheme="minorHAnsi" w:cstheme="minorHAnsi"/>
      <w:sz w:val="20"/>
    </w:rPr>
  </w:style>
  <w:style w:type="numbering" w:customStyle="1" w:styleId="aaTOCList">
    <w:name w:val="aa TOC List"/>
    <w:uiPriority w:val="99"/>
    <w:rsid w:val="00F90F66"/>
    <w:pPr>
      <w:numPr>
        <w:numId w:val="62"/>
      </w:numPr>
    </w:pPr>
  </w:style>
  <w:style w:type="character" w:customStyle="1" w:styleId="authors-list-item">
    <w:name w:val="authors-list-item"/>
    <w:basedOn w:val="DefaultParagraphFont"/>
    <w:rsid w:val="00E35816"/>
  </w:style>
  <w:style w:type="character" w:customStyle="1" w:styleId="comma">
    <w:name w:val="comma"/>
    <w:basedOn w:val="DefaultParagraphFont"/>
    <w:rsid w:val="00E35816"/>
  </w:style>
  <w:style w:type="paragraph" w:styleId="CommentSubject">
    <w:name w:val="annotation subject"/>
    <w:basedOn w:val="CommentText"/>
    <w:next w:val="CommentText"/>
    <w:link w:val="CommentSubjectChar"/>
    <w:semiHidden/>
    <w:unhideWhenUsed/>
    <w:rsid w:val="00154406"/>
    <w:rPr>
      <w:b/>
      <w:bCs/>
      <w:sz w:val="20"/>
    </w:rPr>
  </w:style>
  <w:style w:type="character" w:customStyle="1" w:styleId="CommentSubjectChar">
    <w:name w:val="Comment Subject Char"/>
    <w:basedOn w:val="CommentTextChar"/>
    <w:link w:val="CommentSubject"/>
    <w:semiHidden/>
    <w:rsid w:val="00154406"/>
    <w:rPr>
      <w:rFonts w:ascii="Calibri" w:hAnsi="Calibri"/>
      <w:b/>
      <w:bCs/>
      <w:lang w:val="en-US" w:eastAsia="en-US"/>
    </w:rPr>
  </w:style>
  <w:style w:type="paragraph" w:styleId="TOC5">
    <w:name w:val="toc 5"/>
    <w:basedOn w:val="Normal"/>
    <w:next w:val="Normal"/>
    <w:autoRedefine/>
    <w:uiPriority w:val="39"/>
    <w:unhideWhenUsed/>
    <w:rsid w:val="007437D8"/>
    <w:pPr>
      <w:spacing w:before="0"/>
      <w:ind w:left="840"/>
    </w:pPr>
    <w:rPr>
      <w:rFonts w:asciiTheme="minorHAnsi" w:hAnsiTheme="minorHAnsi" w:cstheme="minorHAnsi"/>
      <w:sz w:val="20"/>
    </w:rPr>
  </w:style>
  <w:style w:type="paragraph" w:styleId="TOC8">
    <w:name w:val="toc 8"/>
    <w:basedOn w:val="Normal"/>
    <w:next w:val="Normal"/>
    <w:autoRedefine/>
    <w:uiPriority w:val="39"/>
    <w:unhideWhenUsed/>
    <w:rsid w:val="007437D8"/>
    <w:pPr>
      <w:spacing w:before="0"/>
      <w:ind w:left="1470"/>
    </w:pPr>
    <w:rPr>
      <w:rFonts w:asciiTheme="minorHAnsi" w:hAnsiTheme="minorHAnsi" w:cstheme="minorHAnsi"/>
      <w:sz w:val="20"/>
    </w:rPr>
  </w:style>
  <w:style w:type="paragraph" w:styleId="TOC9">
    <w:name w:val="toc 9"/>
    <w:basedOn w:val="Normal"/>
    <w:next w:val="Normal"/>
    <w:autoRedefine/>
    <w:uiPriority w:val="39"/>
    <w:unhideWhenUsed/>
    <w:rsid w:val="007437D8"/>
    <w:pPr>
      <w:spacing w:before="0"/>
      <w:ind w:left="1680"/>
    </w:pPr>
    <w:rPr>
      <w:rFonts w:asciiTheme="minorHAnsi" w:hAnsiTheme="minorHAnsi" w:cstheme="minorHAnsi"/>
      <w:sz w:val="20"/>
    </w:rPr>
  </w:style>
  <w:style w:type="character" w:styleId="FollowedHyperlink">
    <w:name w:val="FollowedHyperlink"/>
    <w:basedOn w:val="DefaultParagraphFont"/>
    <w:semiHidden/>
    <w:unhideWhenUsed/>
    <w:rsid w:val="005A63D7"/>
    <w:rPr>
      <w:color w:val="800080" w:themeColor="followedHyperlink"/>
      <w:u w:val="single"/>
    </w:rPr>
  </w:style>
  <w:style w:type="paragraph" w:styleId="Revision">
    <w:name w:val="Revision"/>
    <w:hidden/>
    <w:uiPriority w:val="99"/>
    <w:semiHidden/>
    <w:rsid w:val="00BC6F86"/>
    <w:rPr>
      <w:rFonts w:ascii="Calibri" w:hAnsi="Calibri"/>
      <w:sz w:val="21"/>
      <w:lang w:val="en-US" w:eastAsia="en-US"/>
    </w:rPr>
  </w:style>
  <w:style w:type="character" w:customStyle="1" w:styleId="hgkelc">
    <w:name w:val="hgkelc"/>
    <w:basedOn w:val="DefaultParagraphFont"/>
    <w:rsid w:val="006F4E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176001">
      <w:bodyDiv w:val="1"/>
      <w:marLeft w:val="0"/>
      <w:marRight w:val="0"/>
      <w:marTop w:val="0"/>
      <w:marBottom w:val="0"/>
      <w:divBdr>
        <w:top w:val="none" w:sz="0" w:space="0" w:color="auto"/>
        <w:left w:val="none" w:sz="0" w:space="0" w:color="auto"/>
        <w:bottom w:val="none" w:sz="0" w:space="0" w:color="auto"/>
        <w:right w:val="none" w:sz="0" w:space="0" w:color="auto"/>
      </w:divBdr>
      <w:divsChild>
        <w:div w:id="1651054319">
          <w:marLeft w:val="0"/>
          <w:marRight w:val="0"/>
          <w:marTop w:val="0"/>
          <w:marBottom w:val="0"/>
          <w:divBdr>
            <w:top w:val="none" w:sz="0" w:space="0" w:color="auto"/>
            <w:left w:val="none" w:sz="0" w:space="0" w:color="auto"/>
            <w:bottom w:val="none" w:sz="0" w:space="0" w:color="auto"/>
            <w:right w:val="none" w:sz="0" w:space="0" w:color="auto"/>
          </w:divBdr>
        </w:div>
        <w:div w:id="474642070">
          <w:marLeft w:val="0"/>
          <w:marRight w:val="0"/>
          <w:marTop w:val="0"/>
          <w:marBottom w:val="0"/>
          <w:divBdr>
            <w:top w:val="none" w:sz="0" w:space="0" w:color="auto"/>
            <w:left w:val="none" w:sz="0" w:space="0" w:color="auto"/>
            <w:bottom w:val="none" w:sz="0" w:space="0" w:color="auto"/>
            <w:right w:val="none" w:sz="0" w:space="0" w:color="auto"/>
          </w:divBdr>
          <w:divsChild>
            <w:div w:id="180973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55390">
      <w:bodyDiv w:val="1"/>
      <w:marLeft w:val="0"/>
      <w:marRight w:val="0"/>
      <w:marTop w:val="0"/>
      <w:marBottom w:val="0"/>
      <w:divBdr>
        <w:top w:val="none" w:sz="0" w:space="0" w:color="auto"/>
        <w:left w:val="none" w:sz="0" w:space="0" w:color="auto"/>
        <w:bottom w:val="none" w:sz="0" w:space="0" w:color="auto"/>
        <w:right w:val="none" w:sz="0" w:space="0" w:color="auto"/>
      </w:divBdr>
    </w:div>
    <w:div w:id="233707364">
      <w:bodyDiv w:val="1"/>
      <w:marLeft w:val="0"/>
      <w:marRight w:val="0"/>
      <w:marTop w:val="0"/>
      <w:marBottom w:val="0"/>
      <w:divBdr>
        <w:top w:val="none" w:sz="0" w:space="0" w:color="auto"/>
        <w:left w:val="none" w:sz="0" w:space="0" w:color="auto"/>
        <w:bottom w:val="none" w:sz="0" w:space="0" w:color="auto"/>
        <w:right w:val="none" w:sz="0" w:space="0" w:color="auto"/>
      </w:divBdr>
    </w:div>
    <w:div w:id="248006648">
      <w:bodyDiv w:val="1"/>
      <w:marLeft w:val="0"/>
      <w:marRight w:val="0"/>
      <w:marTop w:val="0"/>
      <w:marBottom w:val="0"/>
      <w:divBdr>
        <w:top w:val="none" w:sz="0" w:space="0" w:color="auto"/>
        <w:left w:val="none" w:sz="0" w:space="0" w:color="auto"/>
        <w:bottom w:val="none" w:sz="0" w:space="0" w:color="auto"/>
        <w:right w:val="none" w:sz="0" w:space="0" w:color="auto"/>
      </w:divBdr>
    </w:div>
    <w:div w:id="328757494">
      <w:bodyDiv w:val="1"/>
      <w:marLeft w:val="0"/>
      <w:marRight w:val="0"/>
      <w:marTop w:val="0"/>
      <w:marBottom w:val="0"/>
      <w:divBdr>
        <w:top w:val="none" w:sz="0" w:space="0" w:color="auto"/>
        <w:left w:val="none" w:sz="0" w:space="0" w:color="auto"/>
        <w:bottom w:val="none" w:sz="0" w:space="0" w:color="auto"/>
        <w:right w:val="none" w:sz="0" w:space="0" w:color="auto"/>
      </w:divBdr>
    </w:div>
    <w:div w:id="641347591">
      <w:bodyDiv w:val="1"/>
      <w:marLeft w:val="0"/>
      <w:marRight w:val="0"/>
      <w:marTop w:val="0"/>
      <w:marBottom w:val="0"/>
      <w:divBdr>
        <w:top w:val="none" w:sz="0" w:space="0" w:color="auto"/>
        <w:left w:val="none" w:sz="0" w:space="0" w:color="auto"/>
        <w:bottom w:val="none" w:sz="0" w:space="0" w:color="auto"/>
        <w:right w:val="none" w:sz="0" w:space="0" w:color="auto"/>
      </w:divBdr>
    </w:div>
    <w:div w:id="684791691">
      <w:bodyDiv w:val="1"/>
      <w:marLeft w:val="0"/>
      <w:marRight w:val="0"/>
      <w:marTop w:val="0"/>
      <w:marBottom w:val="0"/>
      <w:divBdr>
        <w:top w:val="none" w:sz="0" w:space="0" w:color="auto"/>
        <w:left w:val="none" w:sz="0" w:space="0" w:color="auto"/>
        <w:bottom w:val="none" w:sz="0" w:space="0" w:color="auto"/>
        <w:right w:val="none" w:sz="0" w:space="0" w:color="auto"/>
      </w:divBdr>
    </w:div>
    <w:div w:id="795030239">
      <w:bodyDiv w:val="1"/>
      <w:marLeft w:val="0"/>
      <w:marRight w:val="0"/>
      <w:marTop w:val="0"/>
      <w:marBottom w:val="0"/>
      <w:divBdr>
        <w:top w:val="none" w:sz="0" w:space="0" w:color="auto"/>
        <w:left w:val="none" w:sz="0" w:space="0" w:color="auto"/>
        <w:bottom w:val="none" w:sz="0" w:space="0" w:color="auto"/>
        <w:right w:val="none" w:sz="0" w:space="0" w:color="auto"/>
      </w:divBdr>
    </w:div>
    <w:div w:id="1121221442">
      <w:bodyDiv w:val="1"/>
      <w:marLeft w:val="0"/>
      <w:marRight w:val="0"/>
      <w:marTop w:val="0"/>
      <w:marBottom w:val="0"/>
      <w:divBdr>
        <w:top w:val="none" w:sz="0" w:space="0" w:color="auto"/>
        <w:left w:val="none" w:sz="0" w:space="0" w:color="auto"/>
        <w:bottom w:val="none" w:sz="0" w:space="0" w:color="auto"/>
        <w:right w:val="none" w:sz="0" w:space="0" w:color="auto"/>
      </w:divBdr>
    </w:div>
    <w:div w:id="1302536507">
      <w:bodyDiv w:val="1"/>
      <w:marLeft w:val="0"/>
      <w:marRight w:val="0"/>
      <w:marTop w:val="0"/>
      <w:marBottom w:val="0"/>
      <w:divBdr>
        <w:top w:val="none" w:sz="0" w:space="0" w:color="auto"/>
        <w:left w:val="none" w:sz="0" w:space="0" w:color="auto"/>
        <w:bottom w:val="none" w:sz="0" w:space="0" w:color="auto"/>
        <w:right w:val="none" w:sz="0" w:space="0" w:color="auto"/>
      </w:divBdr>
    </w:div>
    <w:div w:id="1694961650">
      <w:bodyDiv w:val="1"/>
      <w:marLeft w:val="0"/>
      <w:marRight w:val="0"/>
      <w:marTop w:val="0"/>
      <w:marBottom w:val="0"/>
      <w:divBdr>
        <w:top w:val="none" w:sz="0" w:space="0" w:color="auto"/>
        <w:left w:val="none" w:sz="0" w:space="0" w:color="auto"/>
        <w:bottom w:val="none" w:sz="0" w:space="0" w:color="auto"/>
        <w:right w:val="none" w:sz="0" w:space="0" w:color="auto"/>
      </w:divBdr>
    </w:div>
    <w:div w:id="1852986835">
      <w:bodyDiv w:val="1"/>
      <w:marLeft w:val="0"/>
      <w:marRight w:val="0"/>
      <w:marTop w:val="0"/>
      <w:marBottom w:val="0"/>
      <w:divBdr>
        <w:top w:val="none" w:sz="0" w:space="0" w:color="auto"/>
        <w:left w:val="none" w:sz="0" w:space="0" w:color="auto"/>
        <w:bottom w:val="none" w:sz="0" w:space="0" w:color="auto"/>
        <w:right w:val="none" w:sz="0" w:space="0" w:color="auto"/>
      </w:divBdr>
    </w:div>
    <w:div w:id="1859196494">
      <w:bodyDiv w:val="1"/>
      <w:marLeft w:val="0"/>
      <w:marRight w:val="0"/>
      <w:marTop w:val="0"/>
      <w:marBottom w:val="0"/>
      <w:divBdr>
        <w:top w:val="none" w:sz="0" w:space="0" w:color="auto"/>
        <w:left w:val="none" w:sz="0" w:space="0" w:color="auto"/>
        <w:bottom w:val="none" w:sz="0" w:space="0" w:color="auto"/>
        <w:right w:val="none" w:sz="0" w:space="0" w:color="auto"/>
      </w:divBdr>
    </w:div>
    <w:div w:id="1974360360">
      <w:bodyDiv w:val="1"/>
      <w:marLeft w:val="0"/>
      <w:marRight w:val="0"/>
      <w:marTop w:val="0"/>
      <w:marBottom w:val="0"/>
      <w:divBdr>
        <w:top w:val="none" w:sz="0" w:space="0" w:color="auto"/>
        <w:left w:val="none" w:sz="0" w:space="0" w:color="auto"/>
        <w:bottom w:val="none" w:sz="0" w:space="0" w:color="auto"/>
        <w:right w:val="none" w:sz="0" w:space="0" w:color="auto"/>
      </w:divBdr>
    </w:div>
    <w:div w:id="2051419192">
      <w:bodyDiv w:val="1"/>
      <w:marLeft w:val="0"/>
      <w:marRight w:val="0"/>
      <w:marTop w:val="0"/>
      <w:marBottom w:val="0"/>
      <w:divBdr>
        <w:top w:val="none" w:sz="0" w:space="0" w:color="auto"/>
        <w:left w:val="none" w:sz="0" w:space="0" w:color="auto"/>
        <w:bottom w:val="none" w:sz="0" w:space="0" w:color="auto"/>
        <w:right w:val="none" w:sz="0" w:space="0" w:color="auto"/>
      </w:divBdr>
      <w:divsChild>
        <w:div w:id="1606814090">
          <w:marLeft w:val="0"/>
          <w:marRight w:val="0"/>
          <w:marTop w:val="0"/>
          <w:marBottom w:val="0"/>
          <w:divBdr>
            <w:top w:val="none" w:sz="0" w:space="0" w:color="auto"/>
            <w:left w:val="none" w:sz="0" w:space="0" w:color="auto"/>
            <w:bottom w:val="none" w:sz="0" w:space="0" w:color="auto"/>
            <w:right w:val="none" w:sz="0" w:space="0" w:color="auto"/>
          </w:divBdr>
          <w:divsChild>
            <w:div w:id="75270193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107117959">
      <w:bodyDiv w:val="1"/>
      <w:marLeft w:val="0"/>
      <w:marRight w:val="0"/>
      <w:marTop w:val="0"/>
      <w:marBottom w:val="0"/>
      <w:divBdr>
        <w:top w:val="none" w:sz="0" w:space="0" w:color="auto"/>
        <w:left w:val="none" w:sz="0" w:space="0" w:color="auto"/>
        <w:bottom w:val="none" w:sz="0" w:space="0" w:color="auto"/>
        <w:right w:val="none" w:sz="0" w:space="0" w:color="auto"/>
      </w:divBdr>
      <w:divsChild>
        <w:div w:id="2065133703">
          <w:marLeft w:val="0"/>
          <w:marRight w:val="0"/>
          <w:marTop w:val="0"/>
          <w:marBottom w:val="0"/>
          <w:divBdr>
            <w:top w:val="none" w:sz="0" w:space="0" w:color="auto"/>
            <w:left w:val="none" w:sz="0" w:space="0" w:color="auto"/>
            <w:bottom w:val="none" w:sz="0" w:space="0" w:color="auto"/>
            <w:right w:val="none" w:sz="0" w:space="0" w:color="auto"/>
          </w:divBdr>
        </w:div>
        <w:div w:id="1627656373">
          <w:marLeft w:val="0"/>
          <w:marRight w:val="0"/>
          <w:marTop w:val="0"/>
          <w:marBottom w:val="0"/>
          <w:divBdr>
            <w:top w:val="none" w:sz="0" w:space="0" w:color="auto"/>
            <w:left w:val="none" w:sz="0" w:space="0" w:color="auto"/>
            <w:bottom w:val="none" w:sz="0" w:space="0" w:color="auto"/>
            <w:right w:val="none" w:sz="0" w:space="0" w:color="auto"/>
          </w:divBdr>
          <w:divsChild>
            <w:div w:id="203379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974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3.xml"/><Relationship Id="rId26" Type="http://schemas.openxmlformats.org/officeDocument/2006/relationships/footer" Target="footer7.xml"/><Relationship Id="rId39" Type="http://schemas.openxmlformats.org/officeDocument/2006/relationships/hyperlink" Target="http://www.research.lancs.ac.uk/portal/en/publications/the-association-between-employment-status-and-health-among-british-adults-with-and-without-intellectual-impairments(df6e7da4-0627-4e98-97a6-a971e8ef6c40).html" TargetMode="External"/><Relationship Id="rId21" Type="http://schemas.openxmlformats.org/officeDocument/2006/relationships/header" Target="header4.xml"/><Relationship Id="rId34" Type="http://schemas.openxmlformats.org/officeDocument/2006/relationships/hyperlink" Target="https://www.ncbi.nlm.nih.gov/pmc/articles/PMC3266767/" TargetMode="External"/><Relationship Id="rId42" Type="http://schemas.openxmlformats.org/officeDocument/2006/relationships/hyperlink" Target="https://www.arts.unsw.edu.au/sites/default/files/documents/Comparative_study_of_three_employment_models.pdf"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2.xml"/><Relationship Id="rId29" Type="http://schemas.openxmlformats.org/officeDocument/2006/relationships/hyperlink" Target="https://www.studyinaustralia.gov.au/english/australian-education/education-syste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6.xml"/><Relationship Id="rId32" Type="http://schemas.openxmlformats.org/officeDocument/2006/relationships/hyperlink" Target="https://pubmed.ncbi.nlm.nih.gov/?term=Thornhill+MG&amp;cauthor_id=26977937" TargetMode="External"/><Relationship Id="rId37" Type="http://schemas.openxmlformats.org/officeDocument/2006/relationships/hyperlink" Target="http://www.research.lancs.ac.uk/portal/en/people/susannah-baines(126456d1-0adb-4124-af7e-6ea8a72af0c4).html" TargetMode="External"/><Relationship Id="rId40" Type="http://schemas.openxmlformats.org/officeDocument/2006/relationships/hyperlink" Target="https://ipsworks.org/index.php/what-is-ips/" TargetMode="External"/><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5.xml"/><Relationship Id="rId28" Type="http://schemas.openxmlformats.org/officeDocument/2006/relationships/hyperlink" Target="https://www.aihw.gov.au/reports/disability/people-with-disability-in-australia/education-and-skills/educational-attainment/highest-level-of-education" TargetMode="External"/><Relationship Id="rId36" Type="http://schemas.openxmlformats.org/officeDocument/2006/relationships/hyperlink" Target="http://www.research.lancs.ac.uk/portal/en/people/chris-hatton(1941b43f-8ec6-4360-9877-23d51babc4f4).html" TargetMode="External"/><Relationship Id="rId10" Type="http://schemas.openxmlformats.org/officeDocument/2006/relationships/endnotes" Target="endnotes.xml"/><Relationship Id="rId19" Type="http://schemas.openxmlformats.org/officeDocument/2006/relationships/footer" Target="footer4.xml"/><Relationship Id="rId31" Type="http://schemas.openxmlformats.org/officeDocument/2006/relationships/hyperlink" Target="https://pubmed.ncbi.nlm.nih.gov/?term=Litz+KS&amp;cauthor_id=26977937" TargetMode="External"/><Relationship Id="rId44" Type="http://schemas.openxmlformats.org/officeDocument/2006/relationships/hyperlink" Target="https://www.dol.gov/odep/pdf/2011cecm.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eader" Target="header5.xml"/><Relationship Id="rId27" Type="http://schemas.openxmlformats.org/officeDocument/2006/relationships/hyperlink" Target="http://www.autismlaunchpad.org.au/work/open-employment/" TargetMode="External"/><Relationship Id="rId30" Type="http://schemas.openxmlformats.org/officeDocument/2006/relationships/hyperlink" Target="https://pubmed.ncbi.nlm.nih.gov/?term=Blick+RN&amp;cauthor_id=26977937" TargetMode="External"/><Relationship Id="rId35" Type="http://schemas.openxmlformats.org/officeDocument/2006/relationships/hyperlink" Target="http://www.research.lancs.ac.uk/portal/en/people/eric-emerson(b0f5df7a-0302-414f-aa3a-4e82ce7473e3).html" TargetMode="External"/><Relationship Id="rId43" Type="http://schemas.openxmlformats.org/officeDocument/2006/relationships/hyperlink" Target="https://doi.org/10.1186/s12889-018-5551-1"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jpg"/><Relationship Id="rId17" Type="http://schemas.openxmlformats.org/officeDocument/2006/relationships/footer" Target="footer3.xml"/><Relationship Id="rId25" Type="http://schemas.openxmlformats.org/officeDocument/2006/relationships/header" Target="header6.xml"/><Relationship Id="rId33" Type="http://schemas.openxmlformats.org/officeDocument/2006/relationships/hyperlink" Target="https://pubmed.ncbi.nlm.nih.gov/?term=Goreczny+AJ&amp;cauthor_id=26977937" TargetMode="External"/><Relationship Id="rId38" Type="http://schemas.openxmlformats.org/officeDocument/2006/relationships/hyperlink" Target="http://www.research.lancs.ac.uk/portal/en/people/janet-robertson(c3e5ae78-fc92-477c-8c3f-d7373b110c61).html" TargetMode="External"/><Relationship Id="rId46" Type="http://schemas.openxmlformats.org/officeDocument/2006/relationships/theme" Target="theme/theme1.xml"/><Relationship Id="rId20" Type="http://schemas.openxmlformats.org/officeDocument/2006/relationships/hyperlink" Target="https://ipsworks.org/index.php/what-is-ips/" TargetMode="External"/><Relationship Id="rId41" Type="http://schemas.openxmlformats.org/officeDocument/2006/relationships/hyperlink" Target="https://doi.org/10.1186/1475-9276-12-7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B315B4795E93147B8DE0CCCE89467E6" ma:contentTypeVersion="13" ma:contentTypeDescription="Create a new document." ma:contentTypeScope="" ma:versionID="b3080e51b28ae211733a4734597d4e97">
  <xsd:schema xmlns:xsd="http://www.w3.org/2001/XMLSchema" xmlns:xs="http://www.w3.org/2001/XMLSchema" xmlns:p="http://schemas.microsoft.com/office/2006/metadata/properties" xmlns:ns2="e4907236-fd29-4ae5-ac1b-45511eadf608" xmlns:ns3="6a4ab33e-2e85-463e-b9b3-464748423cab" targetNamespace="http://schemas.microsoft.com/office/2006/metadata/properties" ma:root="true" ma:fieldsID="0fd96654a5c52aa50657d023847c93cc" ns2:_="" ns3:_="">
    <xsd:import namespace="e4907236-fd29-4ae5-ac1b-45511eadf608"/>
    <xsd:import namespace="6a4ab33e-2e85-463e-b9b3-464748423ca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907236-fd29-4ae5-ac1b-45511eadf6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a4ab33e-2e85-463e-b9b3-464748423ca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B86A780-DF11-4822-B18F-8C85EE97C0E4}"/>
</file>

<file path=customXml/itemProps2.xml><?xml version="1.0" encoding="utf-8"?>
<ds:datastoreItem xmlns:ds="http://schemas.openxmlformats.org/officeDocument/2006/customXml" ds:itemID="{EC32A06A-5FAE-40F6-B2BE-8ECF498354B6}">
  <ds:schemaRefs>
    <ds:schemaRef ds:uri="http://schemas.openxmlformats.org/officeDocument/2006/bibliography"/>
  </ds:schemaRefs>
</ds:datastoreItem>
</file>

<file path=customXml/itemProps3.xml><?xml version="1.0" encoding="utf-8"?>
<ds:datastoreItem xmlns:ds="http://schemas.openxmlformats.org/officeDocument/2006/customXml" ds:itemID="{3ADDBF8F-1D07-430B-B429-CBE6820CC45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8FC0C0E-D58F-449F-8A55-C6ECC7A721C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80</Pages>
  <Words>34550</Words>
  <Characters>196941</Characters>
  <Application>Microsoft Office Word</Application>
  <DocSecurity>0</DocSecurity>
  <Lines>1641</Lines>
  <Paragraphs>462</Paragraphs>
  <ScaleCrop>false</ScaleCrop>
  <HeadingPairs>
    <vt:vector size="2" baseType="variant">
      <vt:variant>
        <vt:lpstr>Title</vt:lpstr>
      </vt:variant>
      <vt:variant>
        <vt:i4>1</vt:i4>
      </vt:variant>
    </vt:vector>
  </HeadingPairs>
  <TitlesOfParts>
    <vt:vector size="1" baseType="lpstr">
      <vt:lpstr>CSI Document</vt:lpstr>
    </vt:vector>
  </TitlesOfParts>
  <Company>CanTeen</Company>
  <LinksUpToDate>false</LinksUpToDate>
  <CharactersWithSpaces>231029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CSI Document</dc:title>
  <dc:creator>Someone</dc:creator>
  <cp:lastModifiedBy>Eban Pollard</cp:lastModifiedBy>
  <cp:revision>6</cp:revision>
  <cp:lastPrinted>2020-11-06T09:32:00Z</cp:lastPrinted>
  <dcterms:created xsi:type="dcterms:W3CDTF">2020-09-10T21:59:00Z</dcterms:created>
  <dcterms:modified xsi:type="dcterms:W3CDTF">2020-11-25T06:58:00Z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0x0101002B315B4795E93147B8DE0CCCE89467E6</vt:lpwstr>
  </property>
</Properties>
</file>